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E0" w:rsidRDefault="006E2BE0" w:rsidP="006E2BE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Glass Ceiling in Context: The Role of Organizational Characteristics and  </w:t>
      </w:r>
    </w:p>
    <w:p w:rsidR="006E2BE0" w:rsidRDefault="006E2BE0" w:rsidP="006E2BE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Firm Internationalization in Advancing Women into Management</w:t>
      </w:r>
    </w:p>
    <w:p w:rsidR="00DF2C94" w:rsidRDefault="00DF2C94" w:rsidP="002510D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97996" w:rsidRDefault="00497996" w:rsidP="002510D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Abstract</w:t>
      </w:r>
    </w:p>
    <w:p w:rsidR="00E9513E" w:rsidRDefault="002510D5" w:rsidP="002510D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study draws upon multiple theoretical lenses to help explain macro-level organizational determinants of women in management.  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>Specifically, we examined various organizational characteristics and strategies, including: firm levels of internationalization, firm foreign ownership, CEO gender, and the active recruitment of women</w:t>
      </w:r>
      <w:r w:rsidR="007373A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 xml:space="preserve"> as predictors of a</w:t>
      </w:r>
      <w:r w:rsidR="007373A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 xml:space="preserve"> organization’s level of female representation in management. </w:t>
      </w:r>
      <w:r w:rsidR="005C2330">
        <w:rPr>
          <w:rFonts w:ascii="Times New Roman" w:hAnsi="Times New Roman" w:cs="Times New Roman"/>
          <w:sz w:val="24"/>
          <w:szCs w:val="24"/>
          <w:lang w:val="en-US"/>
        </w:rPr>
        <w:t>Results from a survey of 286 firms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2330">
        <w:rPr>
          <w:rFonts w:ascii="Times New Roman" w:hAnsi="Times New Roman" w:cs="Times New Roman"/>
          <w:sz w:val="24"/>
          <w:szCs w:val="24"/>
          <w:lang w:val="en-US"/>
        </w:rPr>
        <w:t xml:space="preserve">indicated that </w:t>
      </w:r>
      <w:r w:rsidR="007373A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810CA3">
        <w:rPr>
          <w:rFonts w:ascii="Times New Roman" w:hAnsi="Times New Roman" w:cs="Times New Roman"/>
          <w:sz w:val="24"/>
          <w:szCs w:val="24"/>
          <w:lang w:val="en-US"/>
        </w:rPr>
        <w:t xml:space="preserve">degree of </w:t>
      </w:r>
      <w:r>
        <w:rPr>
          <w:rFonts w:ascii="Times New Roman" w:hAnsi="Times New Roman" w:cs="Times New Roman"/>
          <w:sz w:val="24"/>
          <w:szCs w:val="24"/>
          <w:lang w:val="en-US"/>
        </w:rPr>
        <w:t>firm in</w:t>
      </w:r>
      <w:r w:rsidR="007373A0">
        <w:rPr>
          <w:rFonts w:ascii="Times New Roman" w:hAnsi="Times New Roman" w:cs="Times New Roman"/>
          <w:sz w:val="24"/>
          <w:szCs w:val="24"/>
          <w:lang w:val="en-US"/>
        </w:rPr>
        <w:t xml:space="preserve">ternationalization, CEO gender, and an organization’s active recruitment of women, 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 xml:space="preserve">were each significantly associated with </w:t>
      </w:r>
      <w:r w:rsidR="007373A0">
        <w:rPr>
          <w:rFonts w:ascii="Times New Roman" w:hAnsi="Times New Roman" w:cs="Times New Roman"/>
          <w:sz w:val="24"/>
          <w:szCs w:val="24"/>
          <w:lang w:val="en-US"/>
        </w:rPr>
        <w:t xml:space="preserve">a firm’s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percentage of women in management.  </w:t>
      </w:r>
      <w:r w:rsidR="00810CA3">
        <w:rPr>
          <w:rFonts w:ascii="Times New Roman" w:hAnsi="Times New Roman" w:cs="Times New Roman"/>
          <w:sz w:val="24"/>
          <w:szCs w:val="24"/>
          <w:lang w:val="en-US"/>
        </w:rPr>
        <w:t xml:space="preserve">Foreign firm ownership 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>also marginally contributed</w:t>
      </w:r>
      <w:r w:rsidR="00810CA3">
        <w:rPr>
          <w:rFonts w:ascii="Times New Roman" w:hAnsi="Times New Roman" w:cs="Times New Roman"/>
          <w:sz w:val="24"/>
          <w:szCs w:val="24"/>
          <w:lang w:val="en-US"/>
        </w:rPr>
        <w:t xml:space="preserve"> to the results.  </w:t>
      </w:r>
      <w:r w:rsidR="00E9513E">
        <w:rPr>
          <w:rFonts w:ascii="Times New Roman" w:hAnsi="Times New Roman" w:cs="Times New Roman"/>
          <w:sz w:val="24"/>
          <w:szCs w:val="24"/>
          <w:lang w:val="en-US"/>
        </w:rPr>
        <w:t xml:space="preserve">Our findings suggest that that although firms exercise discretion with respect to hiring and </w:t>
      </w:r>
      <w:r w:rsidR="00D51290">
        <w:rPr>
          <w:rFonts w:ascii="Times New Roman" w:hAnsi="Times New Roman" w:cs="Times New Roman"/>
          <w:sz w:val="24"/>
          <w:szCs w:val="24"/>
          <w:lang w:val="en-US"/>
        </w:rPr>
        <w:t xml:space="preserve">promoting </w:t>
      </w:r>
      <w:r w:rsidR="00E9513E">
        <w:rPr>
          <w:rFonts w:ascii="Times New Roman" w:hAnsi="Times New Roman" w:cs="Times New Roman"/>
          <w:sz w:val="24"/>
          <w:szCs w:val="24"/>
          <w:lang w:val="en-US"/>
        </w:rPr>
        <w:t xml:space="preserve">women, they are also constrained by the external environment </w:t>
      </w:r>
      <w:r w:rsidR="00D5216E">
        <w:rPr>
          <w:rFonts w:ascii="Times New Roman" w:hAnsi="Times New Roman" w:cs="Times New Roman"/>
          <w:sz w:val="24"/>
          <w:szCs w:val="24"/>
          <w:lang w:val="en-US"/>
        </w:rPr>
        <w:t xml:space="preserve">and organizational characteristics. For </w:t>
      </w:r>
      <w:proofErr w:type="gramStart"/>
      <w:r w:rsidR="00D5216E">
        <w:rPr>
          <w:rFonts w:ascii="Times New Roman" w:hAnsi="Times New Roman" w:cs="Times New Roman"/>
          <w:sz w:val="24"/>
          <w:szCs w:val="24"/>
          <w:lang w:val="en-US"/>
        </w:rPr>
        <w:t>example</w:t>
      </w:r>
      <w:proofErr w:type="gramEnd"/>
      <w:r w:rsidR="00D5216E">
        <w:rPr>
          <w:rFonts w:ascii="Times New Roman" w:hAnsi="Times New Roman" w:cs="Times New Roman"/>
          <w:sz w:val="24"/>
          <w:szCs w:val="24"/>
          <w:lang w:val="en-US"/>
        </w:rPr>
        <w:t>, marketplace demands for firms with higher levels of firm internationalization may limi</w:t>
      </w:r>
      <w:r w:rsidR="00EF1289">
        <w:rPr>
          <w:rFonts w:ascii="Times New Roman" w:hAnsi="Times New Roman" w:cs="Times New Roman"/>
          <w:sz w:val="24"/>
          <w:szCs w:val="24"/>
          <w:lang w:val="en-US"/>
        </w:rPr>
        <w:t xml:space="preserve">t their efforts and investment in the </w:t>
      </w:r>
      <w:r w:rsidR="00E9513E">
        <w:rPr>
          <w:rFonts w:ascii="Times New Roman" w:hAnsi="Times New Roman" w:cs="Times New Roman"/>
          <w:sz w:val="24"/>
          <w:szCs w:val="24"/>
          <w:lang w:val="en-US"/>
        </w:rPr>
        <w:t xml:space="preserve">advancement of women into management.  </w:t>
      </w:r>
      <w:r w:rsidR="00EF1289">
        <w:rPr>
          <w:rFonts w:ascii="Times New Roman" w:hAnsi="Times New Roman" w:cs="Times New Roman"/>
          <w:sz w:val="24"/>
          <w:szCs w:val="24"/>
          <w:lang w:val="en-US"/>
        </w:rPr>
        <w:t>Implications of our findings for research and practice are discussed</w:t>
      </w:r>
    </w:p>
    <w:p w:rsidR="00AE3C98" w:rsidRDefault="00AE3C98" w:rsidP="002510D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E3C98" w:rsidRDefault="00AE3C98" w:rsidP="002510D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Keywords: Female CEOs, firm internationalization, foreign ownership, women in management, </w:t>
      </w:r>
    </w:p>
    <w:p w:rsidR="002510D5" w:rsidRDefault="002510D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6E2BE0" w:rsidRDefault="00DF2C94" w:rsidP="006E2BE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The Glass Ceil</w:t>
      </w:r>
      <w:r w:rsidR="006E2BE0">
        <w:rPr>
          <w:rFonts w:ascii="Times New Roman" w:hAnsi="Times New Roman" w:cs="Times New Roman"/>
          <w:sz w:val="24"/>
          <w:szCs w:val="24"/>
          <w:lang w:val="en-US"/>
        </w:rPr>
        <w:t>ing in Context: The Role of Organizational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Characteristics and </w:t>
      </w:r>
      <w:r w:rsidR="006E2B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F2C94" w:rsidRDefault="006E2BE0" w:rsidP="006E2BE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Firm </w:t>
      </w:r>
      <w:r w:rsidR="00DF2C94">
        <w:rPr>
          <w:rFonts w:ascii="Times New Roman" w:hAnsi="Times New Roman" w:cs="Times New Roman"/>
          <w:sz w:val="24"/>
          <w:szCs w:val="24"/>
          <w:lang w:val="en-US"/>
        </w:rPr>
        <w:t>Internationalization in Advancing Women into Management</w:t>
      </w:r>
    </w:p>
    <w:p w:rsidR="006E2BE0" w:rsidRPr="003620D8" w:rsidRDefault="006E2BE0" w:rsidP="00DF2C9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72F3B" w:rsidRPr="003620D8" w:rsidRDefault="00972F3B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Introduction</w:t>
      </w:r>
    </w:p>
    <w:p w:rsidR="006C5D6C" w:rsidRPr="003620D8" w:rsidRDefault="00363995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Although women ha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made considerable inroads in the workplace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(e.g., greater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participation in 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>labor market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>, closing the wage gap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as a result of equity programs 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Ainsworth,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et al., 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2010;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Jain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et al.,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2010; </w:t>
      </w:r>
      <w:r w:rsidR="00262BFF" w:rsidRPr="003620D8">
        <w:rPr>
          <w:rFonts w:ascii="Times New Roman" w:hAnsi="Times New Roman" w:cs="Times New Roman"/>
          <w:sz w:val="24"/>
          <w:szCs w:val="24"/>
          <w:lang w:val="en-US"/>
        </w:rPr>
        <w:t>Leck, 2002</w:t>
      </w:r>
      <w:r w:rsidR="00AC61A4" w:rsidRPr="003620D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>hey continue to experience the “glass ceiling”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when advancing into management ranks</w:t>
      </w:r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>Pichler</w:t>
      </w:r>
      <w:proofErr w:type="spellEnd"/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et al., </w:t>
      </w:r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>2008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>Cech</w:t>
      </w:r>
      <w:proofErr w:type="spellEnd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Blair-Loy, 2010</w:t>
      </w:r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36A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In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Canada</w:t>
      </w:r>
      <w:r w:rsidR="009456F4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36A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="00AC41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men far outrank women in management, </w:t>
      </w:r>
      <w:r w:rsidR="00262BF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with women occupying only 36.5 percent of management positions (Catalyst, 2011).  Yap and Konrad (2009) reported that </w:t>
      </w:r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women experienced the most </w:t>
      </w:r>
      <w:proofErr w:type="gramStart"/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>disadvantage</w:t>
      </w:r>
      <w:proofErr w:type="gramEnd"/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at the lower rungs of the organizational hierarchy, and</w:t>
      </w:r>
      <w:r w:rsidR="00262BF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were less likely to be promot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>ed than their male counterparts</w:t>
      </w:r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Barriers to promotion, even at the bottom of the hierarchy, are significant given that </w:t>
      </w:r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advancement 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>lower and middle-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>level management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crucial </w:t>
      </w:r>
      <w:r w:rsidR="00FF76F5">
        <w:rPr>
          <w:rFonts w:ascii="Times New Roman" w:hAnsi="Times New Roman" w:cs="Times New Roman"/>
          <w:sz w:val="24"/>
          <w:szCs w:val="24"/>
          <w:lang w:val="en-US"/>
        </w:rPr>
        <w:t xml:space="preserve">for promotion to upper-level </w:t>
      </w:r>
      <w:r w:rsidR="00764368" w:rsidRPr="003620D8">
        <w:rPr>
          <w:rFonts w:ascii="Times New Roman" w:hAnsi="Times New Roman" w:cs="Times New Roman"/>
          <w:sz w:val="24"/>
          <w:szCs w:val="24"/>
          <w:lang w:val="en-US"/>
        </w:rPr>
        <w:t>management</w:t>
      </w:r>
      <w:r w:rsidR="0070740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(Leck, 2002; Yap &amp; Konrad, 2009).</w:t>
      </w:r>
    </w:p>
    <w:p w:rsidR="009456F4" w:rsidRPr="003620D8" w:rsidRDefault="009456F4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number of researchers 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(e.g., </w:t>
      </w:r>
      <w:proofErr w:type="spellStart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>Cech</w:t>
      </w:r>
      <w:proofErr w:type="spellEnd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Blair-Loy, 2010</w:t>
      </w:r>
      <w:r w:rsidR="000860B5" w:rsidRPr="003620D8">
        <w:rPr>
          <w:rFonts w:ascii="Times New Roman" w:hAnsi="Times New Roman" w:cs="Times New Roman"/>
          <w:sz w:val="24"/>
          <w:szCs w:val="24"/>
          <w:lang w:val="en-US"/>
        </w:rPr>
        <w:t>; Hamel, 2009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have identified 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several 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barriers facing women at 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372EF" w:rsidRPr="003620D8">
        <w:rPr>
          <w:rFonts w:ascii="Times New Roman" w:hAnsi="Times New Roman" w:cs="Times New Roman"/>
          <w:i/>
          <w:sz w:val="24"/>
          <w:szCs w:val="24"/>
          <w:lang w:val="en-US"/>
        </w:rPr>
        <w:t>individual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20FE7" w:rsidRPr="003620D8">
        <w:rPr>
          <w:rFonts w:ascii="Times New Roman" w:hAnsi="Times New Roman" w:cs="Times New Roman"/>
          <w:i/>
          <w:sz w:val="24"/>
          <w:szCs w:val="24"/>
          <w:lang w:val="en-US"/>
        </w:rPr>
        <w:t>organizational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>level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s. 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>Individual-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level barriers 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920FE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>gender-role socialization (</w:t>
      </w:r>
      <w:proofErr w:type="spellStart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Litzky</w:t>
      </w:r>
      <w:proofErr w:type="spellEnd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Greenhaus</w:t>
      </w:r>
      <w:proofErr w:type="spellEnd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, 2007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Schweitzer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et al.,</w:t>
      </w:r>
      <w:r w:rsidR="00C368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04F" w:rsidRPr="003620D8">
        <w:rPr>
          <w:rFonts w:ascii="Times New Roman" w:hAnsi="Times New Roman" w:cs="Times New Roman"/>
          <w:sz w:val="24"/>
          <w:szCs w:val="24"/>
          <w:lang w:val="en-US"/>
        </w:rPr>
        <w:t>2011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20237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lack of </w:t>
      </w:r>
      <w:r w:rsidR="004372EF" w:rsidRPr="003620D8">
        <w:rPr>
          <w:rFonts w:ascii="Times New Roman" w:hAnsi="Times New Roman" w:cs="Times New Roman"/>
          <w:sz w:val="24"/>
          <w:szCs w:val="24"/>
          <w:lang w:val="en-US"/>
        </w:rPr>
        <w:t>self-efficacy</w:t>
      </w:r>
      <w:r w:rsidR="0020237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C4229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097" w:rsidRPr="003620D8">
        <w:rPr>
          <w:rFonts w:ascii="Times New Roman" w:hAnsi="Times New Roman" w:cs="Times New Roman"/>
          <w:sz w:val="24"/>
          <w:szCs w:val="24"/>
          <w:lang w:val="en-US"/>
        </w:rPr>
        <w:t>self-esteem</w:t>
      </w:r>
      <w:r w:rsidR="0020237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4229D" w:rsidRPr="003620D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>Matthews et al., 2010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>; Pell, 1996</w:t>
      </w:r>
      <w:r w:rsidR="00C4229D" w:rsidRPr="003620D8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710" w:rsidRPr="003620D8">
        <w:rPr>
          <w:rFonts w:ascii="Times New Roman" w:hAnsi="Times New Roman" w:cs="Times New Roman"/>
          <w:sz w:val="24"/>
          <w:szCs w:val="24"/>
          <w:lang w:val="en-US"/>
        </w:rPr>
        <w:t>work/life conflicts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(Coronel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et al., 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>2010</w:t>
      </w:r>
      <w:r w:rsidR="00B108F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; Konrad &amp; </w:t>
      </w:r>
      <w:proofErr w:type="spellStart"/>
      <w:r w:rsidR="00B108F3" w:rsidRPr="003620D8">
        <w:rPr>
          <w:rFonts w:ascii="Times New Roman" w:hAnsi="Times New Roman" w:cs="Times New Roman"/>
          <w:sz w:val="24"/>
          <w:szCs w:val="24"/>
          <w:lang w:val="en-US"/>
        </w:rPr>
        <w:t>Cannings</w:t>
      </w:r>
      <w:proofErr w:type="spellEnd"/>
      <w:r w:rsidR="00B108F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1997</w:t>
      </w:r>
      <w:r w:rsidR="00E83B64" w:rsidRPr="003620D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8771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>a lack of family and social support (</w:t>
      </w:r>
      <w:proofErr w:type="spellStart"/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>Aycan</w:t>
      </w:r>
      <w:proofErr w:type="spellEnd"/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2004), </w:t>
      </w:r>
      <w:r w:rsidR="009B7097" w:rsidRPr="003620D8">
        <w:rPr>
          <w:rFonts w:ascii="Times New Roman" w:hAnsi="Times New Roman" w:cs="Times New Roman"/>
          <w:sz w:val="24"/>
          <w:szCs w:val="24"/>
          <w:lang w:val="en-US"/>
        </w:rPr>
        <w:t>a lack of role models (</w:t>
      </w:r>
      <w:proofErr w:type="spellStart"/>
      <w:r w:rsidR="009B7097" w:rsidRPr="003620D8">
        <w:rPr>
          <w:rFonts w:ascii="Times New Roman" w:hAnsi="Times New Roman" w:cs="Times New Roman"/>
          <w:sz w:val="24"/>
          <w:szCs w:val="24"/>
          <w:lang w:val="en-US"/>
        </w:rPr>
        <w:t>Searly</w:t>
      </w:r>
      <w:proofErr w:type="spellEnd"/>
      <w:r w:rsidR="009B709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Singh, 2010), 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lack of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social capital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(e.g., mentors and career sponsors) </w:t>
      </w:r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necessary for advancement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Hersby</w:t>
      </w:r>
      <w:proofErr w:type="spellEnd"/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et al.,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>2009; Ragins &amp; Cotton, 1996;</w:t>
      </w:r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>Metz, 2009)</w:t>
      </w:r>
      <w:r w:rsidR="009B709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6C5D6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At the organizational level,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factors such </w:t>
      </w:r>
      <w:r w:rsidR="00C4229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as 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organizational culture (negative 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attitudes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and bias</w:t>
      </w:r>
      <w:r w:rsidR="00C3682B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against women</w:t>
      </w:r>
      <w:r w:rsidR="00C3682B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>Aycan</w:t>
      </w:r>
      <w:proofErr w:type="spellEnd"/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>, 2004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8461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Powell &amp; Butterfield, 2002; </w:t>
      </w:r>
      <w:proofErr w:type="spellStart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Weyer</w:t>
      </w:r>
      <w:proofErr w:type="spellEnd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, 2007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gender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stereotyping </w:t>
      </w:r>
      <w:r w:rsidR="00A6434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managerial positions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(Lee &amp; James, 2007; </w:t>
      </w:r>
      <w:r w:rsidR="008461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Powell et al., 2002;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Schein, 2007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410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lack of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organizational 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>support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Aycan</w:t>
      </w:r>
      <w:proofErr w:type="spellEnd"/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, 2004)</w:t>
      </w:r>
      <w:r w:rsidR="009D49F0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and inadequate human resource policies and practices supporting women (Hamel, 2009</w:t>
      </w:r>
      <w:r w:rsidR="00583D88" w:rsidRPr="003620D8">
        <w:rPr>
          <w:rFonts w:ascii="Times New Roman" w:hAnsi="Times New Roman" w:cs="Times New Roman"/>
          <w:sz w:val="24"/>
          <w:szCs w:val="24"/>
          <w:lang w:val="en-US"/>
        </w:rPr>
        <w:t>; Konrad, 2007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83D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contribute to the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glass ceiling </w:t>
      </w:r>
      <w:r w:rsidR="00583D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women</w:t>
      </w:r>
      <w:r w:rsidR="00583D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seeking advancement into management</w:t>
      </w:r>
      <w:r w:rsidR="00A5749B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64299" w:rsidRPr="003620D8" w:rsidRDefault="00264299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Although 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>much has been written</w:t>
      </w:r>
      <w:r w:rsidR="0019336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the progress of women in the workplace, we do not yet </w:t>
      </w:r>
      <w:r w:rsidR="00C4208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have 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complete picture or understanding of </w:t>
      </w:r>
      <w:r w:rsidR="0019336E" w:rsidRPr="003620D8">
        <w:rPr>
          <w:rFonts w:ascii="Times New Roman" w:hAnsi="Times New Roman" w:cs="Times New Roman"/>
          <w:sz w:val="24"/>
          <w:szCs w:val="24"/>
          <w:lang w:val="en-US"/>
        </w:rPr>
        <w:t>the relationship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9336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between </w:t>
      </w:r>
      <w:r w:rsidR="005C2330">
        <w:rPr>
          <w:rFonts w:ascii="Times New Roman" w:hAnsi="Times New Roman" w:cs="Times New Roman"/>
          <w:sz w:val="24"/>
          <w:szCs w:val="24"/>
          <w:lang w:val="en-US"/>
        </w:rPr>
        <w:t xml:space="preserve">macro-level organizational 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characteristics </w:t>
      </w:r>
      <w:r w:rsidR="0019336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advancement of 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>women in</w:t>
      </w:r>
      <w:r w:rsidR="0019336E" w:rsidRPr="003620D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management</w:t>
      </w:r>
      <w:r w:rsidR="00C4208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(cf. Fields </w:t>
      </w:r>
      <w:r w:rsidR="00972F3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et al., </w:t>
      </w:r>
      <w:r w:rsidR="00C42081" w:rsidRPr="003620D8">
        <w:rPr>
          <w:rFonts w:ascii="Times New Roman" w:hAnsi="Times New Roman" w:cs="Times New Roman"/>
          <w:sz w:val="24"/>
          <w:szCs w:val="24"/>
          <w:lang w:val="en-US"/>
        </w:rPr>
        <w:t>2005)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It is possible that women may be denied promotion not so much because of individual factors or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>interpersonal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biases, but because of inherent macro-level firm characteristics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(Richard et al., 2002)</w:t>
      </w:r>
      <w:r w:rsidR="00747F8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="00A24041">
        <w:rPr>
          <w:rFonts w:ascii="Times New Roman" w:hAnsi="Times New Roman" w:cs="Times New Roman"/>
          <w:sz w:val="24"/>
          <w:szCs w:val="24"/>
          <w:lang w:val="en-US"/>
        </w:rPr>
        <w:t xml:space="preserve">there is some evidence to suggest that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>demographic characteristics at the organizational level</w:t>
      </w:r>
      <w:r w:rsidR="00A24041">
        <w:rPr>
          <w:rFonts w:ascii="Times New Roman" w:hAnsi="Times New Roman" w:cs="Times New Roman"/>
          <w:sz w:val="24"/>
          <w:szCs w:val="24"/>
          <w:lang w:val="en-US"/>
        </w:rPr>
        <w:t xml:space="preserve"> including: 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>workforce characteristics (Goodman</w:t>
      </w:r>
      <w:r w:rsidR="0094652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>et al., 2003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>Kalev</w:t>
      </w:r>
      <w:proofErr w:type="spellEnd"/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et al., 2006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>), industry (Blum et al, 1994; Jain et al., 2010), and firm size (</w:t>
      </w:r>
      <w:proofErr w:type="spellStart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>Kalev</w:t>
      </w:r>
      <w:proofErr w:type="spellEnd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et al., 2006; 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Metz, 2009) </w:t>
      </w:r>
      <w:r w:rsidR="00A24041">
        <w:rPr>
          <w:rFonts w:ascii="Times New Roman" w:hAnsi="Times New Roman" w:cs="Times New Roman"/>
          <w:sz w:val="24"/>
          <w:szCs w:val="24"/>
          <w:lang w:val="en-US"/>
        </w:rPr>
        <w:t xml:space="preserve">may </w:t>
      </w:r>
      <w:r w:rsidR="00B9121E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affect the number of women in management.  Likewise, 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external forces such as compliance with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equal 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employment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opportunity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/affirmative action </w:t>
      </w:r>
      <w:r w:rsidR="005428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(EEO/AA) 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>laws (</w:t>
      </w:r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>Jain et al., 2010; Ng &amp;</w:t>
      </w:r>
      <w:r w:rsidR="000F585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Burke</w:t>
      </w:r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>, 2010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the presence of unions</w:t>
      </w:r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(Bamberger et al., 1995; Hunt &amp; </w:t>
      </w:r>
      <w:proofErr w:type="spellStart"/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>Haiven</w:t>
      </w:r>
      <w:proofErr w:type="spellEnd"/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>, 2006)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4041">
        <w:rPr>
          <w:rFonts w:ascii="Times New Roman" w:hAnsi="Times New Roman" w:cs="Times New Roman"/>
          <w:sz w:val="24"/>
          <w:szCs w:val="24"/>
          <w:lang w:val="en-US"/>
        </w:rPr>
        <w:t>appear to influence</w:t>
      </w:r>
      <w:r w:rsidR="0060153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31B5" w:rsidRPr="003620D8">
        <w:rPr>
          <w:rFonts w:ascii="Times New Roman" w:hAnsi="Times New Roman" w:cs="Times New Roman"/>
          <w:sz w:val="24"/>
          <w:szCs w:val="24"/>
          <w:lang w:val="en-US"/>
        </w:rPr>
        <w:t>the treatment of women in organizations.</w:t>
      </w:r>
    </w:p>
    <w:p w:rsidR="00C42081" w:rsidRDefault="00747F8D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Against this backdrop, 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present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study seeks to </w:t>
      </w:r>
      <w:r w:rsidR="003124BF">
        <w:rPr>
          <w:rFonts w:ascii="Times New Roman" w:hAnsi="Times New Roman" w:cs="Times New Roman"/>
          <w:sz w:val="24"/>
          <w:szCs w:val="24"/>
          <w:lang w:val="en-US"/>
        </w:rPr>
        <w:t>extend prior research on women in management by investigating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specific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organizational characteristics </w:t>
      </w:r>
      <w:r w:rsidR="003124BF">
        <w:rPr>
          <w:rFonts w:ascii="Times New Roman" w:hAnsi="Times New Roman" w:cs="Times New Roman"/>
          <w:sz w:val="24"/>
          <w:szCs w:val="24"/>
          <w:lang w:val="en-US"/>
        </w:rPr>
        <w:t>and strategies t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hat have yet to </w:t>
      </w:r>
      <w:proofErr w:type="gramStart"/>
      <w:r w:rsidR="003E11A7">
        <w:rPr>
          <w:rFonts w:ascii="Times New Roman" w:hAnsi="Times New Roman" w:cs="Times New Roman"/>
          <w:sz w:val="24"/>
          <w:szCs w:val="24"/>
          <w:lang w:val="en-US"/>
        </w:rPr>
        <w:t>explored</w:t>
      </w:r>
      <w:proofErr w:type="gramEnd"/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 in the</w:t>
      </w:r>
      <w:r w:rsidR="003124BF">
        <w:rPr>
          <w:rFonts w:ascii="Times New Roman" w:hAnsi="Times New Roman" w:cs="Times New Roman"/>
          <w:sz w:val="24"/>
          <w:szCs w:val="24"/>
          <w:lang w:val="en-US"/>
        </w:rPr>
        <w:t xml:space="preserve"> literature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 on women in management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Specifically, we examine the 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influence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CEO’s gender, 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>the role of an organization’s recruitment strategy (i.e., the active recruitment of women)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the impact of firm globalization (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 xml:space="preserve">i.e., 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degree of 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 xml:space="preserve">firm internationalization and firm foreign </w:t>
      </w:r>
      <w:r w:rsidR="00A94C13" w:rsidRPr="003620D8">
        <w:rPr>
          <w:rFonts w:ascii="Times New Roman" w:hAnsi="Times New Roman" w:cs="Times New Roman"/>
          <w:sz w:val="24"/>
          <w:szCs w:val="24"/>
          <w:lang w:val="en-US"/>
        </w:rPr>
        <w:t>ownership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B6F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on the percentage of management positions held by women.  It is important </w:t>
      </w:r>
      <w:r w:rsidR="002F1318" w:rsidRPr="003620D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to study </w:t>
      </w:r>
      <w:r w:rsidR="00E1787D" w:rsidRPr="003620D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="00E1787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contextual aspects of </w:t>
      </w:r>
      <w:r w:rsidR="008C05B6" w:rsidRPr="003620D8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s as these </w:t>
      </w:r>
      <w:r w:rsidR="000278EA">
        <w:rPr>
          <w:rFonts w:ascii="Times New Roman" w:hAnsi="Times New Roman" w:cs="Times New Roman"/>
          <w:sz w:val="24"/>
          <w:szCs w:val="24"/>
          <w:lang w:val="en-US"/>
        </w:rPr>
        <w:t>characteristics and strategies “</w:t>
      </w:r>
      <w:r w:rsidR="00E1787D" w:rsidRPr="003620D8">
        <w:rPr>
          <w:rFonts w:ascii="Times New Roman" w:hAnsi="Times New Roman" w:cs="Times New Roman"/>
          <w:sz w:val="24"/>
          <w:szCs w:val="24"/>
          <w:lang w:val="en-US"/>
        </w:rPr>
        <w:t>reflect organizational efforts to adapt to market and environmental forces in order to succeed and survive” (Davis-Blake &amp; Pfeffer, 1989, cf. Blum et al., 1994: 262).</w:t>
      </w:r>
      <w:r w:rsidR="008461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Our </w:t>
      </w:r>
      <w:r w:rsidR="008461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study, therefore, </w:t>
      </w:r>
      <w:r w:rsidR="00972F3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furthers 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field’s </w:t>
      </w:r>
      <w:r w:rsidR="00972F3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understanding on how the number of women in management </w:t>
      </w:r>
      <w:r w:rsidR="0084604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may </w:t>
      </w:r>
      <w:r w:rsidR="00972F3B" w:rsidRPr="003620D8">
        <w:rPr>
          <w:rFonts w:ascii="Times New Roman" w:hAnsi="Times New Roman" w:cs="Times New Roman"/>
          <w:sz w:val="24"/>
          <w:szCs w:val="24"/>
          <w:lang w:val="en-US"/>
        </w:rPr>
        <w:t>be influenced by</w:t>
      </w:r>
      <w:r w:rsidR="008B202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macro-level factors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such as organizational characteristics and strategies</w:t>
      </w:r>
      <w:r w:rsidR="008B202D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0400F">
        <w:rPr>
          <w:rFonts w:ascii="Times New Roman" w:hAnsi="Times New Roman" w:cs="Times New Roman"/>
          <w:sz w:val="24"/>
          <w:szCs w:val="24"/>
          <w:lang w:val="en-US"/>
        </w:rPr>
        <w:t xml:space="preserve">  Our findings have implications for organizations decision-makers and public policy makers in terms of the roles of leadership demography, human resource policies, internationalization strategy, and foreign ownership, in advancing women’s careers.</w:t>
      </w:r>
    </w:p>
    <w:p w:rsidR="006E2BE0" w:rsidRPr="003620D8" w:rsidRDefault="006E2BE0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9456F4" w:rsidRPr="003620D8" w:rsidRDefault="00972F3B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Conceptual 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ackground and 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ypotheses</w:t>
      </w:r>
    </w:p>
    <w:p w:rsidR="00972F3B" w:rsidRDefault="00972F3B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>In this study, we draw upon multiple theoretical lenses to help explain organizational</w:t>
      </w:r>
      <w:r w:rsidR="005C2330">
        <w:rPr>
          <w:rFonts w:ascii="Times New Roman" w:hAnsi="Times New Roman" w:cs="Times New Roman"/>
          <w:sz w:val="24"/>
          <w:szCs w:val="24"/>
          <w:lang w:val="en-US"/>
        </w:rPr>
        <w:t xml:space="preserve"> macro</w:t>
      </w:r>
      <w:r w:rsidR="007719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-level determinants of women in management.  </w:t>
      </w:r>
      <w:r w:rsidR="00D507D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Specifically, we draw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507DC" w:rsidRPr="003620D8">
        <w:rPr>
          <w:rFonts w:ascii="Times New Roman" w:hAnsi="Times New Roman" w:cs="Times New Roman"/>
          <w:sz w:val="24"/>
          <w:szCs w:val="24"/>
          <w:lang w:val="en-US"/>
        </w:rPr>
        <w:t>upper echelon</w:t>
      </w:r>
      <w:r w:rsidR="0084604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perspective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07DC" w:rsidRPr="003620D8">
        <w:rPr>
          <w:rFonts w:ascii="Times New Roman" w:hAnsi="Times New Roman" w:cs="Times New Roman"/>
          <w:sz w:val="24"/>
          <w:szCs w:val="24"/>
          <w:lang w:val="en-US"/>
        </w:rPr>
        <w:t>(Hambrick &amp; Mason, 1984) to explain the role of CEO gender and its impact on women in management.  Following from strategic leadership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decision-making</w:t>
      </w:r>
      <w:r w:rsidR="00D507D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we also draw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D507D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strategic choice and institutional theories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to explain organizational responses to environmental pressures in determining the number of women in management.  Although strategic choice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(Child</w:t>
      </w:r>
      <w:r w:rsidR="00A15B42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1972)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environmental determinism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(DiMaggio &amp; Powell, 1983; </w:t>
      </w:r>
      <w:proofErr w:type="spellStart"/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Hannan</w:t>
      </w:r>
      <w:proofErr w:type="spellEnd"/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Freeman, 1977)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represent opposite 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ends </w:t>
      </w:r>
      <w:r w:rsidR="005778E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a continuum in organizational adaptation, in reality, they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jointly 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exert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>influence on how organizations structure themselves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>, acquire resources,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 control the environment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to enhance prospects for </w:t>
      </w:r>
      <w:r w:rsidR="00A15B42" w:rsidRPr="003620D8">
        <w:rPr>
          <w:rFonts w:ascii="Times New Roman" w:hAnsi="Times New Roman" w:cs="Times New Roman"/>
          <w:sz w:val="24"/>
          <w:szCs w:val="24"/>
          <w:lang w:val="en-US"/>
        </w:rPr>
        <w:t>survival (d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>Rond</w:t>
      </w:r>
      <w:proofErr w:type="spellEnd"/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>Thietart</w:t>
      </w:r>
      <w:proofErr w:type="spellEnd"/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>, 2007;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>Gopalakrishnan</w:t>
      </w:r>
      <w:proofErr w:type="spellEnd"/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>Dugal</w:t>
      </w:r>
      <w:proofErr w:type="spellEnd"/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1998; 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>Oliver 199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081BF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).  On this basis, we anticipate 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that the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percentage </w:t>
      </w:r>
      <w:r w:rsidR="00823DF5" w:rsidRPr="003620D8">
        <w:rPr>
          <w:rFonts w:ascii="Times New Roman" w:hAnsi="Times New Roman" w:cs="Times New Roman"/>
          <w:sz w:val="24"/>
          <w:szCs w:val="24"/>
          <w:lang w:val="en-US"/>
        </w:rPr>
        <w:t>of women in management is associated with a firm’s leadership, the strategic choices it makes, and how it responds to environmental pressures.</w:t>
      </w:r>
    </w:p>
    <w:p w:rsidR="006E2BE0" w:rsidRPr="003620D8" w:rsidRDefault="006E2BE0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236AD" w:rsidRPr="003620D8" w:rsidRDefault="007A4F29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Upper Echelon Theory</w:t>
      </w:r>
      <w:r w:rsidR="005F3C80">
        <w:rPr>
          <w:rFonts w:ascii="Times New Roman" w:hAnsi="Times New Roman" w:cs="Times New Roman"/>
          <w:sz w:val="24"/>
          <w:szCs w:val="24"/>
          <w:lang w:val="en-US"/>
        </w:rPr>
        <w:t>: CEO Gender and Women in Management</w:t>
      </w:r>
    </w:p>
    <w:p w:rsidR="003A230D" w:rsidRPr="003620D8" w:rsidRDefault="00264299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upper echelon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perspective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suggests that an organization is a reflection of its top executives, and CEOs’ characteristics may be used to predict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 various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organizational outcomes (Hambrick &amp; Mason, 1984).  These characteristics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of CEO’s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may include </w:t>
      </w:r>
      <w:r w:rsidR="003E11A7">
        <w:rPr>
          <w:rFonts w:ascii="Times New Roman" w:hAnsi="Times New Roman" w:cs="Times New Roman"/>
          <w:sz w:val="24"/>
          <w:szCs w:val="24"/>
          <w:lang w:val="en-US"/>
        </w:rPr>
        <w:t xml:space="preserve">factors such as a CEO’s 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age, gender, educ</w:t>
      </w:r>
      <w:r w:rsidR="00445EF4">
        <w:rPr>
          <w:rFonts w:ascii="Times New Roman" w:hAnsi="Times New Roman" w:cs="Times New Roman"/>
          <w:sz w:val="24"/>
          <w:szCs w:val="24"/>
          <w:lang w:val="en-US"/>
        </w:rPr>
        <w:t>ation, socioeconomic background</w:t>
      </w:r>
      <w:r w:rsidR="00512332" w:rsidRPr="003620D8">
        <w:rPr>
          <w:rFonts w:ascii="Times New Roman" w:hAnsi="Times New Roman" w:cs="Times New Roman"/>
          <w:sz w:val="24"/>
          <w:szCs w:val="24"/>
          <w:lang w:val="en-US"/>
        </w:rPr>
        <w:t>, and career experiences.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F00EE">
        <w:rPr>
          <w:rFonts w:ascii="Times New Roman" w:hAnsi="Times New Roman" w:cs="Times New Roman"/>
          <w:sz w:val="24"/>
          <w:szCs w:val="24"/>
          <w:lang w:val="en-US"/>
        </w:rPr>
        <w:t xml:space="preserve">Since a leader’s gender 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>may shape his or her attitudes</w:t>
      </w:r>
      <w:r w:rsidR="007F00EE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445EF4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7F00EE">
        <w:rPr>
          <w:rFonts w:ascii="Times New Roman" w:hAnsi="Times New Roman" w:cs="Times New Roman"/>
          <w:sz w:val="24"/>
          <w:szCs w:val="24"/>
          <w:lang w:val="en-US"/>
        </w:rPr>
        <w:t xml:space="preserve">attract organizational attention to gender issues in the organization (Lee &amp; James, 2007), </w:t>
      </w:r>
      <w:r w:rsidR="00445EF4">
        <w:rPr>
          <w:rFonts w:ascii="Times New Roman" w:hAnsi="Times New Roman" w:cs="Times New Roman"/>
          <w:sz w:val="24"/>
          <w:szCs w:val="24"/>
          <w:lang w:val="en-US"/>
        </w:rPr>
        <w:t xml:space="preserve">the gender of the CEO may </w:t>
      </w:r>
      <w:r w:rsidR="007F00EE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expected to play a </w:t>
      </w:r>
      <w:r w:rsidR="007F00EE">
        <w:rPr>
          <w:rFonts w:ascii="Times New Roman" w:hAnsi="Times New Roman" w:cs="Times New Roman"/>
          <w:sz w:val="24"/>
          <w:szCs w:val="24"/>
          <w:lang w:val="en-US"/>
        </w:rPr>
        <w:t xml:space="preserve">significant 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role in organizational efforts to promote women.  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>For example, f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emale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>CEOs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6C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may be more supportive 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women’s 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careers </w:t>
      </w:r>
      <w:r w:rsidR="00B76C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because 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they are aware of the disadvantages women face, and </w:t>
      </w:r>
      <w:r w:rsidR="00B76C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they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themselves 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may have experienced discrimination 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3A230D" w:rsidRPr="003620D8">
        <w:rPr>
          <w:rFonts w:ascii="Times New Roman" w:hAnsi="Times New Roman" w:cs="Times New Roman"/>
          <w:sz w:val="24"/>
          <w:szCs w:val="24"/>
          <w:lang w:val="en-US"/>
        </w:rPr>
        <w:t>their struggle to the top job</w:t>
      </w:r>
      <w:r w:rsidR="0091289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(Ng, 2008). 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>Consequently, f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emale CEOs may put in place </w:t>
      </w:r>
      <w:r w:rsidR="0084604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more inclusive human resource management policies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(e.g., work/life flexibility, developmental opportunities, </w:t>
      </w:r>
      <w:proofErr w:type="gramStart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>mentorship</w:t>
      </w:r>
      <w:proofErr w:type="gramEnd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programs) that benefit women.  </w:t>
      </w:r>
      <w:r w:rsidR="00BB4EF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This view is also supported in </w:t>
      </w:r>
      <w:proofErr w:type="spellStart"/>
      <w:r w:rsidR="00BB4EF7" w:rsidRPr="003620D8">
        <w:rPr>
          <w:rFonts w:ascii="Times New Roman" w:hAnsi="Times New Roman" w:cs="Times New Roman"/>
          <w:sz w:val="24"/>
          <w:szCs w:val="24"/>
          <w:lang w:val="en-US"/>
        </w:rPr>
        <w:t>Melero’s</w:t>
      </w:r>
      <w:proofErr w:type="spellEnd"/>
      <w:r w:rsidR="00BB4EF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(2011) study where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female leadership was found to be</w:t>
      </w:r>
      <w:r w:rsidR="005A7119">
        <w:rPr>
          <w:rFonts w:ascii="Times New Roman" w:hAnsi="Times New Roman" w:cs="Times New Roman"/>
          <w:sz w:val="24"/>
          <w:szCs w:val="24"/>
          <w:lang w:val="en-US"/>
        </w:rPr>
        <w:t xml:space="preserve"> associated with </w:t>
      </w:r>
      <w:r w:rsidR="00BB4EF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more inclusive employment practices. 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appointment of a female CEO may </w:t>
      </w:r>
      <w:r w:rsidR="0081766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signal a change in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ganization’s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culture, where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women are less stereotyped, and organizational practices reflect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greater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inclusion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>of women into management (</w:t>
      </w:r>
      <w:proofErr w:type="spellStart"/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>Eagly</w:t>
      </w:r>
      <w:proofErr w:type="spellEnd"/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>Carli</w:t>
      </w:r>
      <w:proofErr w:type="spellEnd"/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2003).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Appointing 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female CEO may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inspire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4604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act as role model for) 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other women to </w:t>
      </w:r>
      <w:r w:rsidR="00FC1AA4" w:rsidRPr="003620D8">
        <w:rPr>
          <w:rFonts w:ascii="Times New Roman" w:hAnsi="Times New Roman" w:cs="Times New Roman"/>
          <w:sz w:val="24"/>
          <w:szCs w:val="24"/>
          <w:lang w:val="en-US"/>
        </w:rPr>
        <w:t>seek out a career in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management (</w:t>
      </w:r>
      <w:proofErr w:type="spellStart"/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>Litzky</w:t>
      </w:r>
      <w:proofErr w:type="spellEnd"/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>Greenhaus</w:t>
      </w:r>
      <w:proofErr w:type="spellEnd"/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2007; Sealy &amp; Singh, 2010). 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Although there has been no systematic study that has examined whether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CEO gender </w:t>
      </w:r>
      <w:r w:rsidR="00125B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is linked with greater representation of women in management, </w:t>
      </w:r>
      <w:proofErr w:type="spellStart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>Kalev</w:t>
      </w:r>
      <w:proofErr w:type="spellEnd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 colleagues (2006) reported that the proporti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on of women in top management tends to be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associated with the number management jobs held by women.  Likewise, having a higher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lastRenderedPageBreak/>
        <w:t>representation of women in corporat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e boards is also linked with a greater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likelihood of having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more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>women in top management (</w:t>
      </w:r>
      <w:proofErr w:type="spellStart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>Terjesen</w:t>
      </w:r>
      <w:proofErr w:type="spellEnd"/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&amp; </w:t>
      </w:r>
      <w:r w:rsidR="008177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Singh, 2008).  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>On this basis,</w:t>
      </w:r>
      <w:r w:rsidR="00445EF4">
        <w:rPr>
          <w:rFonts w:ascii="Times New Roman" w:hAnsi="Times New Roman" w:cs="Times New Roman"/>
          <w:sz w:val="24"/>
          <w:szCs w:val="24"/>
          <w:lang w:val="en-US"/>
        </w:rPr>
        <w:t xml:space="preserve"> we predict the following</w:t>
      </w:r>
      <w:r w:rsidR="00156C62" w:rsidRPr="003620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56C62" w:rsidRDefault="00156C62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H1: </w:t>
      </w:r>
      <w:r w:rsidR="00445EF4">
        <w:rPr>
          <w:rFonts w:ascii="Times New Roman" w:hAnsi="Times New Roman" w:cs="Times New Roman"/>
          <w:sz w:val="24"/>
          <w:szCs w:val="24"/>
          <w:lang w:val="en-US"/>
        </w:rPr>
        <w:t>The presence of a female CEO will be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associated with a greater percentage of women in management.</w:t>
      </w:r>
    </w:p>
    <w:p w:rsidR="006E2BE0" w:rsidRPr="003620D8" w:rsidRDefault="006E2BE0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</w:p>
    <w:p w:rsidR="006D6358" w:rsidRPr="003620D8" w:rsidRDefault="007A4F29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Resource Dependency</w:t>
      </w:r>
      <w:r w:rsidR="00532333">
        <w:rPr>
          <w:rFonts w:ascii="Times New Roman" w:hAnsi="Times New Roman" w:cs="Times New Roman"/>
          <w:sz w:val="24"/>
          <w:szCs w:val="24"/>
          <w:lang w:val="en-US"/>
        </w:rPr>
        <w:t xml:space="preserve"> Theory: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Firm Recruitment Strategies </w:t>
      </w:r>
      <w:r w:rsidR="00532333">
        <w:rPr>
          <w:rFonts w:ascii="Times New Roman" w:hAnsi="Times New Roman" w:cs="Times New Roman"/>
          <w:sz w:val="24"/>
          <w:szCs w:val="24"/>
          <w:lang w:val="en-US"/>
        </w:rPr>
        <w:t>and Women in Management</w:t>
      </w:r>
    </w:p>
    <w:p w:rsidR="00B703A2" w:rsidRPr="003620D8" w:rsidRDefault="00D00A57" w:rsidP="003620D8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Resource dependency theory emphasizes the overriding importance of material, 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and market resources for organizational survival (Pfeffer &amp; </w:t>
      </w:r>
      <w:proofErr w:type="spellStart"/>
      <w:r w:rsidRPr="003620D8">
        <w:rPr>
          <w:rFonts w:ascii="Times New Roman" w:hAnsi="Times New Roman" w:cs="Times New Roman"/>
          <w:sz w:val="24"/>
          <w:szCs w:val="24"/>
          <w:lang w:val="en-US"/>
        </w:rPr>
        <w:t>Salancik</w:t>
      </w:r>
      <w:proofErr w:type="spellEnd"/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1978). 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According to this 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>perspective, organizations develop and adopt strategies to increase the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control over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the supply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of needed resources, or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increase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their dominance in the market with respect to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needed resources.  Thus, an organization’s managers will take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di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rect action to acquire resources that are critical to securing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the future of the firm.  </w:t>
      </w:r>
      <w:r w:rsidR="009121B3" w:rsidRPr="003620D8">
        <w:rPr>
          <w:rFonts w:ascii="Times New Roman" w:hAnsi="Times New Roman" w:cs="Times New Roman"/>
          <w:sz w:val="24"/>
          <w:szCs w:val="24"/>
          <w:lang w:val="en-US"/>
        </w:rPr>
        <w:t>Previous reviews (e.g., Konrad 2007</w:t>
      </w:r>
      <w:r w:rsidR="00D62DED" w:rsidRPr="003620D8">
        <w:rPr>
          <w:rFonts w:ascii="Times New Roman" w:hAnsi="Times New Roman" w:cs="Times New Roman"/>
          <w:sz w:val="24"/>
          <w:szCs w:val="24"/>
          <w:lang w:val="en-US"/>
        </w:rPr>
        <w:t>; Yang &amp; Konrad, 2011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) have demonstrated</w:t>
      </w:r>
      <w:r w:rsidR="009121B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that women can provide strategic value to a firm. 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For instance, the </w:t>
      </w:r>
      <w:r w:rsidR="008C3307" w:rsidRPr="003620D8">
        <w:rPr>
          <w:rFonts w:ascii="Times New Roman" w:hAnsi="Times New Roman" w:cs="Times New Roman"/>
          <w:sz w:val="24"/>
          <w:szCs w:val="24"/>
          <w:lang w:val="en-US"/>
        </w:rPr>
        <w:t>“business case” for diversity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 proposes that having more female employees 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help improve overall organizational performance</w:t>
      </w:r>
      <w:r w:rsidR="007962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="0079625F">
        <w:rPr>
          <w:rFonts w:ascii="Times New Roman" w:hAnsi="Times New Roman" w:cs="Times New Roman"/>
          <w:sz w:val="24"/>
          <w:szCs w:val="24"/>
          <w:lang w:val="en-US"/>
        </w:rPr>
        <w:t xml:space="preserve">through greater representation of women in top management 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(Krishnan &amp; Pa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rk, 2005; Dwyer et al., 2003)</w:t>
      </w:r>
      <w:r w:rsidR="0079625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79625F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attract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more female customers 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 xml:space="preserve">to the firm 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(Cox &amp; Blake, 1991; Robinson &amp; </w:t>
      </w:r>
      <w:proofErr w:type="spellStart"/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Dechant</w:t>
      </w:r>
      <w:proofErr w:type="spellEnd"/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>, 1997</w:t>
      </w:r>
      <w:r w:rsidR="003D24A1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3D24A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In this respect, organizations that view women as valuable strategic resources will systematically intensify their efforts to secure employment for women and facilitate their advancement in the organization. </w:t>
      </w:r>
      <w:r w:rsidR="00B703A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="00172AA4" w:rsidRPr="003620D8">
        <w:rPr>
          <w:rFonts w:ascii="Times New Roman" w:hAnsi="Times New Roman" w:cs="Times New Roman"/>
          <w:sz w:val="24"/>
          <w:szCs w:val="24"/>
          <w:lang w:val="en-US"/>
        </w:rPr>
        <w:t>firms experiencing rapid growth may require additional (human) resources and thus hire more female workers to fuel that growth (Fields et al., 2005).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 Likewise, </w:t>
      </w:r>
      <w:r w:rsidR="00B703A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the U.S.,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when </w:t>
      </w:r>
      <w:r w:rsidR="00B703A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defense contractors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became more dependent on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the federal government for contracts, they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lastRenderedPageBreak/>
        <w:t>became</w:t>
      </w:r>
      <w:r w:rsidR="00B703A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more responsive to EEO/AA laws </w:t>
      </w:r>
      <w:r w:rsidR="006416C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hired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and promoted </w:t>
      </w:r>
      <w:r w:rsidR="006416C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more women into management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positions </w:t>
      </w:r>
      <w:r w:rsidR="006D6358" w:rsidRPr="003620D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6D6358" w:rsidRPr="003620D8">
        <w:rPr>
          <w:rFonts w:ascii="Times New Roman" w:hAnsi="Times New Roman" w:cs="Times New Roman"/>
          <w:sz w:val="24"/>
          <w:szCs w:val="24"/>
          <w:lang w:val="en-US"/>
        </w:rPr>
        <w:t>Salancik</w:t>
      </w:r>
      <w:proofErr w:type="spellEnd"/>
      <w:r w:rsidR="006D635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1979). </w:t>
      </w:r>
      <w:r w:rsidR="006416C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In this respect, </w:t>
      </w:r>
      <w:r w:rsidR="009B41AF" w:rsidRPr="003620D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irms who view </w:t>
      </w:r>
      <w:r w:rsidR="00E915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female workers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as a valuable strategic resource </w:t>
      </w:r>
      <w:r w:rsidR="00E915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may promote women into management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order to </w:t>
      </w:r>
      <w:r w:rsidR="00E915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attract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other women and also boost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retention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rate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of female employees in the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159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(Goodman et al., 2003; Fields et al., 2005).  </w:t>
      </w:r>
      <w:r w:rsidR="00172AA4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this respect, while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level of female representation in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agement may potentially attract more female applicants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 to the organization (i.e., improving the effectiveness of an organization’s recruitment activities), it also stands to reason that a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recruitment system that aims to systematically attract female applicants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would tend to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results in more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female workers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within a firm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, in turn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providing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>broader and stronger pool of female talent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for promotion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 into management positions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(Konrad et al., 2008; </w:t>
      </w:r>
      <w:proofErr w:type="spellStart"/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>Terjesen</w:t>
      </w:r>
      <w:proofErr w:type="spellEnd"/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&amp; Singh, 2008)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4C72D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Thus,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based on the preceding rationale, the active </w:t>
      </w:r>
      <w:r w:rsidR="004C72D2" w:rsidRPr="003620D8">
        <w:rPr>
          <w:rFonts w:ascii="Times New Roman" w:hAnsi="Times New Roman" w:cs="Times New Roman"/>
          <w:sz w:val="24"/>
          <w:szCs w:val="24"/>
          <w:lang w:val="en-US"/>
        </w:rPr>
        <w:t>recruitment of women into an organization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 xml:space="preserve"> should be related to a firm’s level of representation of women in management</w:t>
      </w:r>
      <w:r w:rsidR="004C72D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>On this basis, we hypothesize the following</w:t>
      </w:r>
      <w:r w:rsidR="004C72D2" w:rsidRPr="003620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D51716" w:rsidRDefault="00E9159B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H2: </w:t>
      </w:r>
      <w:r w:rsidR="0088726D" w:rsidRPr="003620D8">
        <w:rPr>
          <w:rFonts w:ascii="Times New Roman" w:hAnsi="Times New Roman" w:cs="Times New Roman"/>
          <w:sz w:val="24"/>
          <w:szCs w:val="24"/>
          <w:lang w:val="en-US"/>
        </w:rPr>
        <w:t>The extent to which an o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rganization</w:t>
      </w:r>
      <w:r w:rsidR="0088726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actively recruiting women </w:t>
      </w:r>
      <w:r w:rsidR="0088726D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will be associated with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24C7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greater percentage of women in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management.</w:t>
      </w:r>
    </w:p>
    <w:p w:rsidR="006E2BE0" w:rsidRPr="003620D8" w:rsidRDefault="006E2BE0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</w:p>
    <w:p w:rsidR="009E0670" w:rsidRPr="003620D8" w:rsidRDefault="007A4F29" w:rsidP="0071393A">
      <w:pPr>
        <w:spacing w:after="0" w:line="480" w:lineRule="auto"/>
        <w:ind w:right="-9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Institutional Theory</w:t>
      </w:r>
      <w:r w:rsidR="0071393A">
        <w:rPr>
          <w:rFonts w:ascii="Times New Roman" w:hAnsi="Times New Roman" w:cs="Times New Roman"/>
          <w:sz w:val="24"/>
          <w:szCs w:val="24"/>
          <w:lang w:val="en-US"/>
        </w:rPr>
        <w:t>: Firm Internationalization/Foreign Ownership and Women in Management</w:t>
      </w:r>
    </w:p>
    <w:p w:rsidR="0087547F" w:rsidRPr="003620D8" w:rsidRDefault="002F544F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Institutional theory suggests that organizations have little control over their structures and processes, and are bound by their external environment (DiMaggio &amp; Powell, 1983; Meyer &amp; Rowan, 1977).  An organization’s actions and behaviors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therefore limited by environmental constraints, such as the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 firm’s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industry, </w:t>
      </w:r>
      <w:proofErr w:type="gramStart"/>
      <w:r w:rsidR="00B67CDB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 competition, and </w:t>
      </w:r>
      <w:r w:rsidR="007B1BA0">
        <w:rPr>
          <w:rFonts w:ascii="Times New Roman" w:hAnsi="Times New Roman" w:cs="Times New Roman"/>
          <w:sz w:val="24"/>
          <w:szCs w:val="24"/>
          <w:lang w:val="en-US"/>
        </w:rPr>
        <w:t xml:space="preserve">ambient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societal/cultural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characteristics (DiMaggio &amp; Powell, 1983; Meyer &amp; Rowan, 1977). 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>As fi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rms exp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and their operations abroad to enhance their prospects for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long-term success and survival (Ta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ylor, 1995),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this expansion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job opportunities for </w:t>
      </w:r>
      <w:r w:rsidR="007B1BA0"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men and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women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at home and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abroad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(Metcalf, 2008).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By the same token however, studies have also reported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hat women are generally less likely to be offered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national work assignment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 partly due to gender biases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against women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in various foreign countries </w:t>
      </w:r>
      <w:r w:rsidR="0087547F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(Adler, 1994; Tung, 2004). 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Thus, although i</w:t>
      </w:r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nternational </w:t>
      </w:r>
      <w:r w:rsidR="001756B2">
        <w:rPr>
          <w:rFonts w:ascii="Times New Roman" w:hAnsi="Times New Roman" w:cs="Times New Roman"/>
          <w:sz w:val="24"/>
          <w:szCs w:val="24"/>
          <w:lang w:val="en-US"/>
        </w:rPr>
        <w:t xml:space="preserve">works </w:t>
      </w:r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assignments are often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considered to be </w:t>
      </w:r>
      <w:r w:rsidR="00B67CD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reward for 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 xml:space="preserve">high-performing and </w:t>
      </w:r>
      <w:r w:rsidR="00B67CDB" w:rsidRPr="003620D8">
        <w:rPr>
          <w:rFonts w:ascii="Times New Roman" w:hAnsi="Times New Roman" w:cs="Times New Roman"/>
          <w:sz w:val="24"/>
          <w:szCs w:val="24"/>
          <w:lang w:val="en-US"/>
        </w:rPr>
        <w:t>favored employees (Black &amp; Greger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sen, 1999) and also a </w:t>
      </w:r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management development tool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that may prepare an employee for future career advancement </w:t>
      </w:r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(Stahl &amp; </w:t>
      </w:r>
      <w:proofErr w:type="spellStart"/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>Cerdin</w:t>
      </w:r>
      <w:proofErr w:type="spellEnd"/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>, 2004; Stahl et al., 2002)</w:t>
      </w:r>
      <w:r w:rsidR="00F87480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F794C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women are less likely 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>to be selected for these assign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ments.  In this respect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>, resource d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ependency may</w:t>
      </w:r>
      <w:r w:rsidR="00E4692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serve as a double-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>edge</w:t>
      </w:r>
      <w:r w:rsidR="00E46921" w:rsidRPr="003620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 sword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 -- 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when women are not considered to be a resource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necessary 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organizational 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survival (due to </w:t>
      </w:r>
      <w:r w:rsidR="007B1BA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greater 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>demand for male managers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 xml:space="preserve"> in the external environment), fewer women will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 xml:space="preserve"> be granted the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opportunity </w:t>
      </w:r>
      <w:r w:rsidR="00B67CD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management 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 xml:space="preserve">development, and in turn,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this may stifle their prospects for 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>future career advancement.</w:t>
      </w:r>
      <w:r w:rsidR="0012528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 xml:space="preserve">Indeed, 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>Selmer and Leung (2003)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 xml:space="preserve"> have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documented how certain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 xml:space="preserve"> corporate activities </w:t>
      </w:r>
      <w:proofErr w:type="gramStart"/>
      <w:r w:rsidR="00E644CE">
        <w:rPr>
          <w:rFonts w:ascii="Times New Roman" w:hAnsi="Times New Roman" w:cs="Times New Roman"/>
          <w:sz w:val="24"/>
          <w:szCs w:val="24"/>
          <w:lang w:val="en-US"/>
        </w:rPr>
        <w:t>that fast-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>track a</w:t>
      </w:r>
      <w:r w:rsidR="009713D9" w:rsidRPr="003620D8">
        <w:rPr>
          <w:rFonts w:ascii="Times New Roman" w:hAnsi="Times New Roman" w:cs="Times New Roman"/>
          <w:sz w:val="24"/>
          <w:szCs w:val="24"/>
          <w:lang w:val="en-US"/>
        </w:rPr>
        <w:t>n individual’s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 xml:space="preserve"> career are</w:t>
      </w:r>
      <w:proofErr w:type="gramEnd"/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44CE">
        <w:rPr>
          <w:rFonts w:ascii="Times New Roman" w:hAnsi="Times New Roman" w:cs="Times New Roman"/>
          <w:sz w:val="24"/>
          <w:szCs w:val="24"/>
          <w:lang w:val="en-US"/>
        </w:rPr>
        <w:t>less available to women relative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to men.  </w:t>
      </w:r>
      <w:r w:rsidR="007B1BA0">
        <w:rPr>
          <w:rFonts w:ascii="Times New Roman" w:hAnsi="Times New Roman" w:cs="Times New Roman"/>
          <w:sz w:val="24"/>
          <w:szCs w:val="24"/>
          <w:lang w:val="en-US"/>
        </w:rPr>
        <w:t xml:space="preserve">Consistent with this premise, </w:t>
      </w:r>
      <w:proofErr w:type="spellStart"/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>Insch</w:t>
      </w:r>
      <w:proofErr w:type="spellEnd"/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 c</w:t>
      </w:r>
      <w:r w:rsidR="007B1BA0">
        <w:rPr>
          <w:rFonts w:ascii="Times New Roman" w:hAnsi="Times New Roman" w:cs="Times New Roman"/>
          <w:sz w:val="24"/>
          <w:szCs w:val="24"/>
          <w:lang w:val="en-US"/>
        </w:rPr>
        <w:t xml:space="preserve">olleagues (2008) have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noted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 xml:space="preserve">significant 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disparity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>the ratio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>male to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male managers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 xml:space="preserve"> in international firms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even in the home country.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20D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4657">
        <w:rPr>
          <w:rFonts w:ascii="Times New Roman" w:hAnsi="Times New Roman" w:cs="Times New Roman"/>
          <w:sz w:val="24"/>
          <w:szCs w:val="24"/>
          <w:lang w:val="en-US"/>
        </w:rPr>
        <w:t>On this basis, we propose the following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25288" w:rsidRDefault="00125288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H3: The extent to which an organization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is dependent on international operations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will be associated with </w:t>
      </w:r>
      <w:r w:rsidR="00587F45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lower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percentage of women in management.</w:t>
      </w:r>
    </w:p>
    <w:p w:rsidR="00A825A3" w:rsidRPr="003620D8" w:rsidRDefault="00A825A3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</w:p>
    <w:p w:rsidR="007A4F29" w:rsidRPr="003620D8" w:rsidRDefault="00460C79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A4F29" w:rsidRPr="003620D8">
        <w:rPr>
          <w:rFonts w:ascii="Times New Roman" w:hAnsi="Times New Roman" w:cs="Times New Roman"/>
          <w:sz w:val="24"/>
          <w:szCs w:val="24"/>
          <w:lang w:val="en-US"/>
        </w:rPr>
        <w:t>oreign ownership</w:t>
      </w:r>
      <w:r w:rsidR="00A94C1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of a firm can also have an impact on the 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labor market participation </w:t>
      </w:r>
      <w:r w:rsidR="00A94C13" w:rsidRPr="003620D8">
        <w:rPr>
          <w:rFonts w:ascii="Times New Roman" w:hAnsi="Times New Roman" w:cs="Times New Roman"/>
          <w:sz w:val="24"/>
          <w:szCs w:val="24"/>
          <w:lang w:val="en-US"/>
        </w:rPr>
        <w:t>of female workers and consequently on the percentage of management positions held by women.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Although there are 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>environmental pressures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such as 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>EEO/AA laws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in the host country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lastRenderedPageBreak/>
        <w:t>advance the careers of women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 minorities (</w:t>
      </w:r>
      <w:proofErr w:type="spellStart"/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Globerman</w:t>
      </w:r>
      <w:proofErr w:type="spellEnd"/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et al., 1994)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organizational leaders exercise strategic choice on whether and how to respond to those pressures.  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>Organizations can resist, compl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y with local EEO/AA laws, or 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>actively recruit women into its workforce (Ng &amp; Wyrick, 2011).  For foreign</w:t>
      </w:r>
      <w:r w:rsidR="00DD1DD1">
        <w:rPr>
          <w:rFonts w:ascii="Times New Roman" w:hAnsi="Times New Roman" w:cs="Times New Roman"/>
          <w:sz w:val="24"/>
          <w:szCs w:val="24"/>
          <w:lang w:val="en-US"/>
        </w:rPr>
        <w:t>-owned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firms, if the costs of implementing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inclusive 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>human resource management programs (e.g., work/life flexibility, developmental programs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for women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) exceed the benefits of having the presence of women in 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workforce, then they may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simply </w:t>
      </w:r>
      <w:r w:rsidR="00812EA8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choose not to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>implement these programs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(Ng &amp; Burke, 2010)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There is some evidence </w:t>
      </w:r>
      <w:r w:rsidR="00DD1DD1">
        <w:rPr>
          <w:rFonts w:ascii="Times New Roman" w:hAnsi="Times New Roman" w:cs="Times New Roman"/>
          <w:sz w:val="24"/>
          <w:szCs w:val="24"/>
          <w:lang w:val="en-US"/>
        </w:rPr>
        <w:t xml:space="preserve">that suggest that various foreign-owned firms may be less inclined to invest in the recruitment and development of female employees.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a study of foreign-owned firms, 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only a small number of Japanese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firms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operating in the U.S.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>felt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 that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the development and advancement of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>women was significant to their success in the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marketplace (Levy &amp; </w:t>
      </w:r>
      <w:proofErr w:type="spellStart"/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>Teramura</w:t>
      </w:r>
      <w:proofErr w:type="spellEnd"/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1993).  The same study also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>uncovered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that there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negative perception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of women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in general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the employment rates for women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by Japanese-owned firms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were below that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>female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representation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 xml:space="preserve">rates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in the labor force.  Likewise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94C13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national workplace </w:t>
      </w:r>
      <w:r w:rsidR="00A94C13" w:rsidRPr="003620D8">
        <w:rPr>
          <w:rFonts w:ascii="Times New Roman" w:hAnsi="Times New Roman" w:cs="Times New Roman"/>
          <w:sz w:val="24"/>
          <w:szCs w:val="24"/>
          <w:lang w:val="en-US"/>
        </w:rPr>
        <w:t>study on wage differentials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Canada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found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foreign </w:t>
      </w:r>
      <w:r w:rsidR="00DB2E9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ownership of </w:t>
      </w:r>
      <w:r w:rsidR="00B4305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firms (along with other organizational factors) accounted for 7% of the wage gaps between women and men (Statistics Canada, 2002). 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Foreign firms may simply be less sensitive to host country 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imperatives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to hire women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194FC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implement </w:t>
      </w:r>
      <w:r w:rsidR="00B8084A" w:rsidRPr="003620D8">
        <w:rPr>
          <w:rFonts w:ascii="Times New Roman" w:hAnsi="Times New Roman" w:cs="Times New Roman"/>
          <w:sz w:val="24"/>
          <w:szCs w:val="24"/>
          <w:lang w:val="en-US"/>
        </w:rPr>
        <w:t>inclusive human resource management programs</w:t>
      </w:r>
      <w:r w:rsidR="006B606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B606A" w:rsidRPr="003620D8">
        <w:rPr>
          <w:rFonts w:ascii="Times New Roman" w:hAnsi="Times New Roman" w:cs="Times New Roman"/>
          <w:sz w:val="24"/>
          <w:szCs w:val="24"/>
          <w:lang w:val="en-US"/>
        </w:rPr>
        <w:t>Globerman</w:t>
      </w:r>
      <w:proofErr w:type="spellEnd"/>
      <w:r w:rsidR="006B606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et al., 1994)</w:t>
      </w:r>
      <w:r w:rsidR="0005312B" w:rsidRPr="003620D8">
        <w:rPr>
          <w:rFonts w:ascii="Times New Roman" w:hAnsi="Times New Roman" w:cs="Times New Roman"/>
          <w:sz w:val="24"/>
          <w:szCs w:val="24"/>
          <w:lang w:val="en-US"/>
        </w:rPr>
        <w:t>, or they may simply choose not to (Ng &amp; Burke, 2010)</w:t>
      </w:r>
      <w:r w:rsidR="00B8084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440DED">
        <w:rPr>
          <w:rFonts w:ascii="Times New Roman" w:hAnsi="Times New Roman" w:cs="Times New Roman"/>
          <w:sz w:val="24"/>
          <w:szCs w:val="24"/>
          <w:lang w:val="en-US"/>
        </w:rPr>
        <w:t>On this basis, we submit the following hypothesis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460C79" w:rsidRPr="003620D8" w:rsidRDefault="00460C79" w:rsidP="003620D8">
      <w:pPr>
        <w:spacing w:after="0" w:line="480" w:lineRule="auto"/>
        <w:ind w:left="851" w:right="1422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H4: Foreign ownership of firms will be associated with a lower percentage of women in management.</w:t>
      </w:r>
    </w:p>
    <w:p w:rsidR="00DF794C" w:rsidRPr="003620D8" w:rsidRDefault="00BD20D5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Method</w:t>
      </w:r>
    </w:p>
    <w:p w:rsidR="00BD20D5" w:rsidRPr="003620D8" w:rsidRDefault="00083382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Procedure</w:t>
      </w:r>
    </w:p>
    <w:p w:rsidR="00083382" w:rsidRPr="003620D8" w:rsidRDefault="00083382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  <w:t xml:space="preserve">Questionnaires were sent to 1,283 organizations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Canada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listed on the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Financial Post 500 largest companies as well as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 list of large firms obtained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proofErr w:type="spellStart"/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Canada (Human Resources Development Canada)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.  A total of 286 companies responded to the survey, yielding a response rate of 22.3%. 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To ensure the highest response rate possible, a second mailing and follow-up telephone calls were made over a period of 22 weeks. 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CEOs and senior human resource managers (e.g., Vice Presidents or Directors)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answered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>the questionnaire on a variety of items including organizational demography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B1682" w:rsidRPr="003620D8">
        <w:rPr>
          <w:rFonts w:ascii="Times New Roman" w:hAnsi="Times New Roman" w:cs="Times New Roman"/>
          <w:sz w:val="24"/>
          <w:szCs w:val="24"/>
          <w:lang w:val="en-US"/>
        </w:rPr>
        <w:t>huma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>n resource management practices, and financial indicators.</w:t>
      </w:r>
    </w:p>
    <w:p w:rsidR="004336A5" w:rsidRDefault="004336A5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336A5" w:rsidRPr="004336A5" w:rsidRDefault="00083382" w:rsidP="004336A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Measures</w:t>
      </w:r>
    </w:p>
    <w:p w:rsidR="00DB1682" w:rsidRPr="003620D8" w:rsidRDefault="0005312B" w:rsidP="003620D8">
      <w:pPr>
        <w:spacing w:after="0" w:line="480" w:lineRule="auto"/>
        <w:ind w:right="1422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u w:val="single"/>
          <w:lang w:val="en-US"/>
        </w:rPr>
        <w:t>Independent variables</w:t>
      </w:r>
    </w:p>
    <w:p w:rsidR="00615CA6" w:rsidRPr="003620D8" w:rsidRDefault="00615CA6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620D8">
        <w:rPr>
          <w:rFonts w:ascii="Times New Roman" w:hAnsi="Times New Roman" w:cs="Times New Roman"/>
          <w:i/>
          <w:sz w:val="24"/>
          <w:szCs w:val="24"/>
          <w:lang w:val="en-US"/>
        </w:rPr>
        <w:t>CEO gender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CEOs were asked to self-report their gender (1=female, 0=male).</w:t>
      </w:r>
    </w:p>
    <w:p w:rsidR="00D63D89" w:rsidRPr="003620D8" w:rsidRDefault="00615CA6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620D8">
        <w:rPr>
          <w:rFonts w:ascii="Times New Roman" w:hAnsi="Times New Roman" w:cs="Times New Roman"/>
          <w:i/>
          <w:sz w:val="24"/>
          <w:szCs w:val="24"/>
          <w:lang w:val="en-US"/>
        </w:rPr>
        <w:t>Recruitment of women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The extent to which an organization employs a recruitment strategy that involves the a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ctive recru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 xml:space="preserve">itment of women was assessed with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eight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items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(alpha=.75)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. Respondents indicated the level to which these recruitment practices were implemented in their organization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using a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-point scale (1-never, 2=sometimes, 3=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always).  Sample items include: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Executive search firms and/or employment agencies which specialize in fi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nding women candidates are used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“A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 xml:space="preserve">ds are placed in female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publicatio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ns</w:t>
      </w:r>
      <w:r w:rsidR="00584B2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336A5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C27428" w:rsidRPr="003620D8" w:rsidRDefault="00D63D89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620D8">
        <w:rPr>
          <w:rFonts w:ascii="Times New Roman" w:hAnsi="Times New Roman" w:cs="Times New Roman"/>
          <w:i/>
          <w:sz w:val="24"/>
          <w:szCs w:val="24"/>
          <w:lang w:val="en-US"/>
        </w:rPr>
        <w:t>Firm globalization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The e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xtent of globalization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(firm internationalization) </w:t>
      </w:r>
      <w:r w:rsidRPr="003620D8">
        <w:rPr>
          <w:rFonts w:ascii="Times New Roman" w:hAnsi="Times New Roman" w:cs="Times New Roman"/>
          <w:sz w:val="24"/>
          <w:szCs w:val="24"/>
          <w:lang w:val="en-US"/>
        </w:rPr>
        <w:t>was measured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by the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percentage 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615C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firm 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>revenues derived from international operations.</w:t>
      </w:r>
    </w:p>
    <w:p w:rsidR="00D63D89" w:rsidRPr="003620D8" w:rsidRDefault="00DE07F3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620D8">
        <w:rPr>
          <w:rFonts w:ascii="Times New Roman" w:hAnsi="Times New Roman" w:cs="Times New Roman"/>
          <w:i/>
          <w:sz w:val="24"/>
          <w:szCs w:val="24"/>
          <w:lang w:val="en-US"/>
        </w:rPr>
        <w:t xml:space="preserve">Foreign </w:t>
      </w:r>
      <w:r w:rsidR="00D63D89" w:rsidRPr="003620D8">
        <w:rPr>
          <w:rFonts w:ascii="Times New Roman" w:hAnsi="Times New Roman" w:cs="Times New Roman"/>
          <w:i/>
          <w:sz w:val="24"/>
          <w:szCs w:val="24"/>
          <w:lang w:val="en-US"/>
        </w:rPr>
        <w:t>Ownership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 Firms were asked to report their ownership (1=domestic, 0=foreign)</w:t>
      </w:r>
    </w:p>
    <w:p w:rsidR="0005312B" w:rsidRPr="003620D8" w:rsidRDefault="0005312B" w:rsidP="003620D8">
      <w:pPr>
        <w:spacing w:after="0" w:line="480" w:lineRule="auto"/>
        <w:ind w:right="1422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u w:val="single"/>
          <w:lang w:val="en-US"/>
        </w:rPr>
        <w:t>Control variables</w:t>
      </w:r>
    </w:p>
    <w:p w:rsidR="00DB1682" w:rsidRPr="003620D8" w:rsidRDefault="004336A5" w:rsidP="004336A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To more precisely isolate the effects of our independent variables</w:t>
      </w:r>
      <w:r w:rsidR="00FE63F7">
        <w:rPr>
          <w:rFonts w:ascii="Times New Roman" w:hAnsi="Times New Roman" w:cs="Times New Roman"/>
          <w:sz w:val="24"/>
          <w:szCs w:val="24"/>
          <w:lang w:val="en-US"/>
        </w:rPr>
        <w:t xml:space="preserve"> in our analysis</w:t>
      </w:r>
      <w:r>
        <w:rPr>
          <w:rFonts w:ascii="Times New Roman" w:hAnsi="Times New Roman" w:cs="Times New Roman"/>
          <w:sz w:val="24"/>
          <w:szCs w:val="24"/>
          <w:lang w:val="en-US"/>
        </w:rPr>
        <w:t>, w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e controlled for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 xml:space="preserve">two key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variables that have been linked to female representation rates in management in prior research: </w:t>
      </w:r>
      <w:r w:rsidR="00DE07F3" w:rsidRPr="003620D8">
        <w:rPr>
          <w:rFonts w:ascii="Times New Roman" w:hAnsi="Times New Roman" w:cs="Times New Roman"/>
          <w:i/>
          <w:sz w:val="24"/>
          <w:szCs w:val="24"/>
          <w:lang w:val="en-US"/>
        </w:rPr>
        <w:t>organization</w:t>
      </w:r>
      <w:r w:rsidR="006865D7" w:rsidRPr="003620D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size</w:t>
      </w:r>
      <w:r w:rsidR="006865D7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(number of employees)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64F4" w:rsidRPr="003620D8">
        <w:rPr>
          <w:rFonts w:ascii="Times New Roman" w:hAnsi="Times New Roman" w:cs="Times New Roman"/>
          <w:sz w:val="24"/>
          <w:szCs w:val="24"/>
          <w:lang w:val="en-US"/>
        </w:rPr>
        <w:t>(Richard et al., 2002</w:t>
      </w:r>
      <w:r w:rsidR="00D664F4">
        <w:rPr>
          <w:rFonts w:ascii="Times New Roman" w:hAnsi="Times New Roman" w:cs="Times New Roman"/>
          <w:sz w:val="24"/>
          <w:szCs w:val="24"/>
          <w:lang w:val="en-US"/>
        </w:rPr>
        <w:t xml:space="preserve">; Metz, 2009) </w:t>
      </w:r>
      <w:r w:rsidR="00D63D89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and the </w:t>
      </w:r>
      <w:r w:rsidR="00D63D89" w:rsidRPr="003620D8">
        <w:rPr>
          <w:rFonts w:ascii="Times New Roman" w:hAnsi="Times New Roman" w:cs="Times New Roman"/>
          <w:i/>
          <w:sz w:val="24"/>
          <w:szCs w:val="24"/>
          <w:lang w:val="en-US"/>
        </w:rPr>
        <w:t>presence of unions</w:t>
      </w:r>
      <w:r w:rsidR="00D664F4" w:rsidRPr="00D664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64F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664F4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Jain &amp; Lawler, 2004; Hunt &amp; </w:t>
      </w:r>
      <w:proofErr w:type="spellStart"/>
      <w:r w:rsidR="00D664F4" w:rsidRPr="003620D8">
        <w:rPr>
          <w:rFonts w:ascii="Times New Roman" w:hAnsi="Times New Roman" w:cs="Times New Roman"/>
          <w:sz w:val="24"/>
          <w:szCs w:val="24"/>
          <w:lang w:val="en-US"/>
        </w:rPr>
        <w:t>Haiven</w:t>
      </w:r>
      <w:proofErr w:type="spellEnd"/>
      <w:r w:rsidR="00D664F4" w:rsidRPr="003620D8">
        <w:rPr>
          <w:rFonts w:ascii="Times New Roman" w:hAnsi="Times New Roman" w:cs="Times New Roman"/>
          <w:sz w:val="24"/>
          <w:szCs w:val="24"/>
          <w:lang w:val="en-US"/>
        </w:rPr>
        <w:t>, 2006)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E0670" w:rsidRPr="003620D8" w:rsidRDefault="0005312B" w:rsidP="003620D8">
      <w:pPr>
        <w:spacing w:after="0" w:line="480" w:lineRule="auto"/>
        <w:ind w:right="1422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u w:val="single"/>
          <w:lang w:val="en-US"/>
        </w:rPr>
        <w:t>Dependent variable</w:t>
      </w:r>
    </w:p>
    <w:p w:rsidR="00DB1682" w:rsidRDefault="00DB1682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The dependent variable in this study is the percentage of management jobs held by women.</w:t>
      </w:r>
    </w:p>
    <w:p w:rsidR="00C77B07" w:rsidRPr="003620D8" w:rsidRDefault="00C77B07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806F52" w:rsidRPr="003620D8" w:rsidRDefault="00F7277E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Results</w:t>
      </w:r>
    </w:p>
    <w:p w:rsidR="002F1017" w:rsidRPr="003620D8" w:rsidRDefault="001E45D3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The means, standard deviations, and zero-order correlations for all study variables are reported in Table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1.  As displayed in the table, </w:t>
      </w:r>
      <w:r w:rsidR="00613531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two 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control variables </w:t>
      </w:r>
      <w:r w:rsidR="000172FD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-- organization</w:t>
      </w:r>
      <w:r w:rsidR="00613531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size 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3D459F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.26, </w:t>
      </w:r>
      <w:r w:rsidR="003D459F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&lt; .01) and union presence -- were each positively related to the percentage of women in management 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CC0DB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r 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= .18,</w:t>
      </w:r>
      <w:r w:rsidR="00CC0DB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p</w:t>
      </w:r>
      <w:r w:rsidR="001447C4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</w:t>
      </w:r>
      <w:r w:rsidR="00CC0DB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.06).  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With respect to the hypothesized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predic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tor variables, 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CEO gender (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.34, 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&lt; .01), recruitment practices targeting women (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.20, 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&lt; .05), and firm internationalization (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-.31, </w:t>
      </w:r>
      <w:r w:rsidR="00855F6E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AA7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&lt; .01) were also 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significantly associated with female repres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entation in management, while the relationship between 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foreign ownership 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and female representation</w:t>
      </w:r>
      <w:r w:rsidR="002F1017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was not statistically significant (</w:t>
      </w:r>
      <w:r w:rsidR="002F1017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="000172FD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-.06</w:t>
      </w:r>
      <w:r w:rsidR="002F1017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2F1017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2F1017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&gt; .05).  </w:t>
      </w:r>
    </w:p>
    <w:tbl>
      <w:tblPr>
        <w:tblW w:w="0" w:type="auto"/>
        <w:tblInd w:w="3168" w:type="dxa"/>
        <w:tblBorders>
          <w:top w:val="dashSmallGap" w:sz="4" w:space="0" w:color="auto"/>
          <w:bottom w:val="dashSmallGap" w:sz="4" w:space="0" w:color="auto"/>
        </w:tblBorders>
        <w:tblLayout w:type="fixed"/>
        <w:tblLook w:val="01E0"/>
      </w:tblPr>
      <w:tblGrid>
        <w:gridCol w:w="2970"/>
      </w:tblGrid>
      <w:tr w:rsidR="002F1017" w:rsidRPr="005A7119" w:rsidTr="003620D8">
        <w:trPr>
          <w:trHeight w:hRule="exact" w:val="568"/>
        </w:trPr>
        <w:tc>
          <w:tcPr>
            <w:tcW w:w="2970" w:type="dxa"/>
            <w:vAlign w:val="center"/>
          </w:tcPr>
          <w:p w:rsidR="002F1017" w:rsidRPr="005A7119" w:rsidRDefault="002F1017" w:rsidP="003620D8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A71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Insert Table 1 about here</w:t>
            </w:r>
          </w:p>
        </w:tc>
      </w:tr>
    </w:tbl>
    <w:p w:rsidR="002F1017" w:rsidRPr="003620D8" w:rsidRDefault="002F1017" w:rsidP="003620D8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E45D3" w:rsidRPr="003620D8" w:rsidRDefault="00AA79A6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To test our main hypotheses and the unique contribution of each predictor variable, a</w:t>
      </w:r>
      <w:r w:rsidR="00A37D19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 </w:t>
      </w:r>
      <w:r w:rsidR="00381BE0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OLS </w:t>
      </w:r>
      <w:r w:rsidR="00A37D19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multiple </w:t>
      </w:r>
      <w:r w:rsidR="00381BE0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regression analysis was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conducted. </w:t>
      </w:r>
      <w:r w:rsidR="00A37D19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In this regression, t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he two control variables (i.e., firm size and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union presence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) were entered in the first block, followed by</w:t>
      </w:r>
      <w:r w:rsidR="00BE581D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each of the hypothesized predictors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the second block.  </w:t>
      </w:r>
      <w:r w:rsidR="00BE581D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Results from this analysis are reported in Table 2.</w:t>
      </w:r>
      <w:r w:rsidR="00855F6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63F15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As evidenced in Table 2, the two control variables</w:t>
      </w:r>
      <w:r w:rsidR="00DE787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the first block </w:t>
      </w:r>
      <w:r w:rsidR="00063F15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account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ed</w:t>
      </w:r>
      <w:r w:rsidR="00063F15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for significant variance in female representation rates (</w:t>
      </w:r>
      <w:r w:rsidR="000172FD" w:rsidRPr="003620D8">
        <w:rPr>
          <w:rFonts w:ascii="Times New Roman" w:hAnsi="Times New Roman" w:cs="Times New Roman"/>
          <w:i/>
          <w:sz w:val="24"/>
          <w:szCs w:val="24"/>
        </w:rPr>
        <w:t>R</w:t>
      </w:r>
      <w:r w:rsidR="000172FD" w:rsidRPr="003620D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0172FD" w:rsidRPr="003620D8">
        <w:rPr>
          <w:rFonts w:ascii="Times New Roman" w:hAnsi="Times New Roman" w:cs="Times New Roman"/>
          <w:i/>
          <w:sz w:val="24"/>
          <w:szCs w:val="24"/>
        </w:rPr>
        <w:t>Δ</w:t>
      </w:r>
      <w:r w:rsidR="000172FD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.09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891FA2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F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Δ</w:t>
      </w:r>
      <w:r w:rsidR="00891FA2" w:rsidRPr="003620D8">
        <w:rPr>
          <w:rFonts w:ascii="Times New Roman" w:hAnsi="Times New Roman" w:cs="Times New Roman"/>
          <w:sz w:val="24"/>
          <w:szCs w:val="24"/>
        </w:rPr>
        <w:t xml:space="preserve"> = 4.87, 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p</w:t>
      </w:r>
      <w:r w:rsidR="00891FA2" w:rsidRPr="003620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FA2" w:rsidRPr="003620D8">
        <w:rPr>
          <w:rFonts w:ascii="Times New Roman" w:hAnsi="Times New Roman" w:cs="Times New Roman"/>
          <w:sz w:val="24"/>
          <w:szCs w:val="24"/>
        </w:rPr>
        <w:t>&lt; .</w:t>
      </w:r>
      <w:proofErr w:type="gramEnd"/>
      <w:r w:rsidR="00891FA2" w:rsidRPr="003620D8">
        <w:rPr>
          <w:rFonts w:ascii="Times New Roman" w:hAnsi="Times New Roman" w:cs="Times New Roman"/>
          <w:sz w:val="24"/>
          <w:szCs w:val="24"/>
        </w:rPr>
        <w:t xml:space="preserve"> 01). </w:t>
      </w:r>
      <w:r w:rsidR="00DE787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="00063F15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he second block</w:t>
      </w:r>
      <w:r w:rsidR="00DE787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variables, containing th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e main hypothesized predictors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3D459F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also </w:t>
      </w:r>
      <w:r w:rsidR="00DE787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explained significant unique variance in representation rates above and beyond these control variables 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R</w:t>
      </w:r>
      <w:r w:rsidR="00891FA2" w:rsidRPr="003620D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Δ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.25, </w:t>
      </w:r>
      <w:r w:rsidR="00891FA2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F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Δ</w:t>
      </w:r>
      <w:r w:rsidR="00891FA2" w:rsidRPr="003620D8">
        <w:rPr>
          <w:rFonts w:ascii="Times New Roman" w:hAnsi="Times New Roman" w:cs="Times New Roman"/>
          <w:sz w:val="24"/>
          <w:szCs w:val="24"/>
        </w:rPr>
        <w:t xml:space="preserve"> = 9.13, </w:t>
      </w:r>
      <w:r w:rsidR="00891FA2" w:rsidRPr="003620D8">
        <w:rPr>
          <w:rFonts w:ascii="Times New Roman" w:hAnsi="Times New Roman" w:cs="Times New Roman"/>
          <w:i/>
          <w:sz w:val="24"/>
          <w:szCs w:val="24"/>
        </w:rPr>
        <w:t>p</w:t>
      </w:r>
      <w:r w:rsidR="00891FA2" w:rsidRPr="003620D8">
        <w:rPr>
          <w:rFonts w:ascii="Times New Roman" w:hAnsi="Times New Roman" w:cs="Times New Roman"/>
          <w:sz w:val="24"/>
          <w:szCs w:val="24"/>
        </w:rPr>
        <w:t xml:space="preserve"> &lt; . 01)</w:t>
      </w:r>
      <w:r w:rsidR="000E457B" w:rsidRPr="003620D8">
        <w:rPr>
          <w:rFonts w:ascii="Times New Roman" w:hAnsi="Times New Roman" w:cs="Times New Roman"/>
          <w:sz w:val="24"/>
          <w:szCs w:val="24"/>
        </w:rPr>
        <w:t>.</w:t>
      </w:r>
      <w:r w:rsidR="00891FA2" w:rsidRPr="003620D8">
        <w:rPr>
          <w:rFonts w:ascii="Times New Roman" w:hAnsi="Times New Roman" w:cs="Times New Roman"/>
          <w:sz w:val="24"/>
          <w:szCs w:val="24"/>
        </w:rPr>
        <w:t xml:space="preserve"> </w:t>
      </w:r>
      <w:r w:rsidR="00DE787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We now summarize results from these analyses as they relate to each of the hypothesized predictors.</w:t>
      </w:r>
    </w:p>
    <w:tbl>
      <w:tblPr>
        <w:tblW w:w="0" w:type="auto"/>
        <w:tblInd w:w="3168" w:type="dxa"/>
        <w:tblBorders>
          <w:top w:val="dashSmallGap" w:sz="4" w:space="0" w:color="auto"/>
          <w:bottom w:val="dashSmallGap" w:sz="4" w:space="0" w:color="auto"/>
        </w:tblBorders>
        <w:tblLayout w:type="fixed"/>
        <w:tblLook w:val="01E0"/>
      </w:tblPr>
      <w:tblGrid>
        <w:gridCol w:w="2970"/>
      </w:tblGrid>
      <w:tr w:rsidR="001E45D3" w:rsidRPr="003620D8" w:rsidTr="00CC0DBE">
        <w:trPr>
          <w:trHeight w:hRule="exact" w:val="568"/>
        </w:trPr>
        <w:tc>
          <w:tcPr>
            <w:tcW w:w="2970" w:type="dxa"/>
            <w:vAlign w:val="center"/>
          </w:tcPr>
          <w:p w:rsidR="001E45D3" w:rsidRPr="003620D8" w:rsidRDefault="002F1017" w:rsidP="003620D8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eastAsia="Calibri" w:hAnsi="Times New Roman" w:cs="Times New Roman"/>
                <w:sz w:val="24"/>
                <w:szCs w:val="24"/>
              </w:rPr>
              <w:t>Insert Table</w:t>
            </w:r>
            <w:r w:rsidR="00BE581D" w:rsidRPr="00362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  <w:r w:rsidR="001E45D3" w:rsidRPr="003620D8">
              <w:rPr>
                <w:rFonts w:ascii="Times New Roman" w:eastAsia="Calibri" w:hAnsi="Times New Roman" w:cs="Times New Roman"/>
                <w:sz w:val="24"/>
                <w:szCs w:val="24"/>
              </w:rPr>
              <w:t>about here</w:t>
            </w:r>
          </w:p>
        </w:tc>
      </w:tr>
    </w:tbl>
    <w:p w:rsidR="00DE7872" w:rsidRPr="003620D8" w:rsidRDefault="00DE7872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D09A6" w:rsidRPr="003620D8" w:rsidRDefault="00855F6E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Hypothesis </w:t>
      </w:r>
      <w:r w:rsidR="00B8749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predicted that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CEO gender will be associated with the representation of women in management, such that 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organizations with female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CEO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will 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demonstrate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 higher percentage of women </w:t>
      </w:r>
      <w:r w:rsidR="00C01CB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at the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management</w:t>
      </w:r>
      <w:r w:rsidR="00C01CB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level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As can be seen in Table 2,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CEO gender 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was significantly 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positively related to the percentage of women in management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1E45D3" w:rsidRPr="003620D8">
        <w:rPr>
          <w:rFonts w:ascii="Times New Roman" w:eastAsia="Calibri" w:hAnsi="Times New Roman" w:cs="Times New Roman"/>
          <w:i/>
          <w:sz w:val="24"/>
          <w:szCs w:val="24"/>
        </w:rPr>
        <w:t>ß</w:t>
      </w:r>
      <w:r w:rsidR="00C049C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36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gramStart"/>
      <w:r w:rsidR="001E45D3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&lt;</w:t>
      </w:r>
      <w:proofErr w:type="gramEnd"/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.01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onsistent with Hypothesis 1, </w:t>
      </w:r>
      <w:r w:rsidR="00063F15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this result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suggests that 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organizations with female CEOs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D67FE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exhibit </w:t>
      </w:r>
      <w:r w:rsidR="00A37D19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greater levels of representation of women in their management ranks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than organizations with male CEOs</w:t>
      </w:r>
      <w:r w:rsidR="00A37D19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1E45D3" w:rsidRPr="003620D8" w:rsidRDefault="005D67FE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Hypothesis 2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proposed 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that </w:t>
      </w:r>
      <w:r w:rsidR="009374B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use of recruitment practices targeting women will be positively associated with female representation in management. 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line with this premise, results </w:t>
      </w:r>
      <w:r w:rsidR="00AA7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indicated that the use of more aggressive recruitment 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practices </w:t>
      </w:r>
      <w:r w:rsidR="00AA7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targeting women 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is significantly positively associated with the percentage of women in management (</w:t>
      </w:r>
      <w:r w:rsidR="00ED09A6" w:rsidRPr="003620D8">
        <w:rPr>
          <w:rFonts w:ascii="Times New Roman" w:eastAsia="Calibri" w:hAnsi="Times New Roman" w:cs="Times New Roman"/>
          <w:i/>
          <w:sz w:val="24"/>
          <w:szCs w:val="24"/>
        </w:rPr>
        <w:t>ß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.22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gramStart"/>
      <w:r w:rsidR="00ED09A6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&lt;</w:t>
      </w:r>
      <w:proofErr w:type="gramEnd"/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.05</w:t>
      </w:r>
      <w:r w:rsidR="00ED0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).</w:t>
      </w:r>
    </w:p>
    <w:p w:rsidR="007B1BDB" w:rsidRPr="003620D8" w:rsidRDefault="001E45D3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Hypothesis</w:t>
      </w:r>
      <w:r w:rsidR="00DC5C74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predicted that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extent to which an organization is dependent on international operations will be associated with a lower percentage of women in management. </w:t>
      </w:r>
      <w:r w:rsidR="00567B5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Consistent with this prediction,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Table 2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indicates that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there is a significant </w:t>
      </w:r>
      <w:r w:rsidR="000E457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negative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relationship between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firm’s level of internationalization and the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overall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percentage of women in </w:t>
      </w:r>
      <w:proofErr w:type="gramStart"/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management  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 w:rsidRPr="003620D8">
        <w:rPr>
          <w:rFonts w:ascii="Times New Roman" w:eastAsia="Calibri" w:hAnsi="Times New Roman" w:cs="Times New Roman"/>
          <w:i/>
          <w:sz w:val="24"/>
          <w:szCs w:val="24"/>
        </w:rPr>
        <w:t>ß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-.33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&lt; .0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).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Overall, this finding </w:t>
      </w:r>
      <w:r w:rsidR="00AA7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is in line with </w:t>
      </w:r>
      <w:r w:rsidR="00567B5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hypothesis 3 and 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suggests that firms with significant international operations may be less likely to attrac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t and promote women into jobs in the</w:t>
      </w:r>
      <w:r w:rsidR="00AA79A6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firm’s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management ranks</w:t>
      </w:r>
      <w:r w:rsidR="007B1BD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E45D3" w:rsidRPr="003620D8" w:rsidRDefault="007B1BDB" w:rsidP="003620D8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Finally, h</w:t>
      </w:r>
      <w:r w:rsidR="00DC5C74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ypothesis 4</w:t>
      </w:r>
      <w:r w:rsidR="00567B5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posited that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</w:t>
      </w:r>
      <w:r w:rsidR="00567B5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foreign ownership of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a firm</w:t>
      </w:r>
      <w:r w:rsidR="00567B5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will be associated with a lower percentage of women in management. </w:t>
      </w:r>
      <w:r w:rsidR="000E457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As expected, results revealed a discernible negative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relationship between foreign ownership and female </w:t>
      </w:r>
      <w:r w:rsidR="000E457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representation in management; however this relationship </w:t>
      </w:r>
      <w:r w:rsidR="0013752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is 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marginally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E457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statistically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significant (</w:t>
      </w:r>
      <w:r w:rsidR="00D35A18" w:rsidRPr="003620D8">
        <w:rPr>
          <w:rFonts w:ascii="Times New Roman" w:eastAsia="Calibri" w:hAnsi="Times New Roman" w:cs="Times New Roman"/>
          <w:i/>
          <w:sz w:val="24"/>
          <w:szCs w:val="24"/>
        </w:rPr>
        <w:t>ß</w:t>
      </w:r>
      <w:r w:rsidR="00891FA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-.16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D35A18" w:rsidRPr="003620D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.072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). T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his pattern of result </w:t>
      </w:r>
      <w:r w:rsidR="000E457B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thus 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provides</w:t>
      </w:r>
      <w:r w:rsidR="00A15C42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partial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support </w:t>
      </w:r>
      <w:r w:rsidR="00C0639A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for </w:t>
      </w:r>
      <w:r w:rsidR="00D35A18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>Hypothesis 4</w:t>
      </w:r>
      <w:r w:rsidR="001E45D3" w:rsidRPr="003620D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:rsidR="00C0639A" w:rsidRDefault="000E457B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In summary, our </w:t>
      </w:r>
      <w:r w:rsidR="00AA79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results indicate that three of the four hypothesized institutional and environmental predictors </w:t>
      </w:r>
      <w:r w:rsidR="00A15C4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(i.e., CEO gender, recruitment practices targeting women, and firm internationalization) </w:t>
      </w:r>
      <w:r w:rsidR="00AA79A6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contribute </w:t>
      </w:r>
      <w:r w:rsidR="00C0639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significant </w:t>
      </w:r>
      <w:r w:rsidR="00AA79A6" w:rsidRPr="003620D8">
        <w:rPr>
          <w:rFonts w:ascii="Times New Roman" w:hAnsi="Times New Roman" w:cs="Times New Roman"/>
          <w:sz w:val="24"/>
          <w:szCs w:val="24"/>
          <w:lang w:val="en-US"/>
        </w:rPr>
        <w:t>unique variance in explaining female representation</w:t>
      </w:r>
      <w:r w:rsidR="00A15C42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levels in management</w:t>
      </w:r>
      <w:r w:rsidR="00AA79A6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0639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Moreover, the final variable, foreign </w:t>
      </w:r>
      <w:proofErr w:type="gramStart"/>
      <w:r w:rsidR="00C0639A" w:rsidRPr="003620D8">
        <w:rPr>
          <w:rFonts w:ascii="Times New Roman" w:hAnsi="Times New Roman" w:cs="Times New Roman"/>
          <w:sz w:val="24"/>
          <w:szCs w:val="24"/>
          <w:lang w:val="en-US"/>
        </w:rPr>
        <w:t>ownership,</w:t>
      </w:r>
      <w:proofErr w:type="gramEnd"/>
      <w:r w:rsidR="00C0639A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was also a ma</w:t>
      </w:r>
      <w:r w:rsidR="002F1D5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rginally significant predictor </w:t>
      </w:r>
      <w:r w:rsidR="00A15C42" w:rsidRPr="003620D8">
        <w:rPr>
          <w:rFonts w:ascii="Times New Roman" w:hAnsi="Times New Roman" w:cs="Times New Roman"/>
          <w:sz w:val="24"/>
          <w:szCs w:val="24"/>
          <w:lang w:val="en-US"/>
        </w:rPr>
        <w:t>when controlling for the other predictor variables</w:t>
      </w:r>
      <w:r w:rsidR="002F1D51" w:rsidRPr="003620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77B07" w:rsidRPr="003620D8" w:rsidRDefault="00C77B07" w:rsidP="003620D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AA79A6" w:rsidRPr="003620D8" w:rsidRDefault="00AA79A6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 Discussion</w:t>
      </w:r>
    </w:p>
    <w:p w:rsidR="003603EB" w:rsidRDefault="003620D8" w:rsidP="003620D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what types of organizations do women make it to the top?  Goodman and colleagues (2003)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condu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cted one of the first empirical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studies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this question and identified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a number of key contributing factors, including: the type of industry (non-manufacturing), the level of emphasis on the development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and promotion of employees in the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organization, and the level of management turnover (higher turnover resulted in more female managers in organizations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. Almost 2</w:t>
      </w:r>
      <w:r w:rsidR="00E9330B">
        <w:rPr>
          <w:rFonts w:ascii="Times New Roman" w:hAnsi="Times New Roman" w:cs="Times New Roman"/>
          <w:sz w:val="24"/>
          <w:szCs w:val="24"/>
          <w:lang w:val="en-US"/>
        </w:rPr>
        <w:t>5 years have passed since the Goodman et al. (2003) study</w:t>
      </w:r>
      <w:r w:rsidR="00E9330B">
        <w:rPr>
          <w:rStyle w:val="FootnoteReference"/>
          <w:rFonts w:ascii="Times New Roman" w:hAnsi="Times New Roman" w:cs="Times New Roman"/>
          <w:sz w:val="24"/>
          <w:szCs w:val="24"/>
          <w:lang w:val="en-US"/>
        </w:rPr>
        <w:footnoteReference w:id="1"/>
      </w:r>
      <w:r w:rsidR="00E9330B">
        <w:rPr>
          <w:rFonts w:ascii="Times New Roman" w:hAnsi="Times New Roman" w:cs="Times New Roman"/>
          <w:sz w:val="24"/>
          <w:szCs w:val="24"/>
          <w:lang w:val="en-US"/>
        </w:rPr>
        <w:t xml:space="preserve">, and women remain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significantly </w:t>
      </w:r>
      <w:r w:rsidR="00E9330B">
        <w:rPr>
          <w:rFonts w:ascii="Times New Roman" w:hAnsi="Times New Roman" w:cs="Times New Roman"/>
          <w:sz w:val="24"/>
          <w:szCs w:val="24"/>
          <w:lang w:val="en-US"/>
        </w:rPr>
        <w:t xml:space="preserve">underrepresented in management.  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 xml:space="preserve">The present study contributes to extant literature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 xml:space="preserve">on women in management 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 xml:space="preserve">by identifying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key</w:t>
      </w:r>
      <w:r w:rsidR="00BA68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 xml:space="preserve">organizational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and strategic factors associated with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>advance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ment of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 xml:space="preserve"> women into management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 xml:space="preserve"> that have yet be explored in prior research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>.  T</w:t>
      </w:r>
      <w:r w:rsidR="00D664F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9330B">
        <w:rPr>
          <w:rFonts w:ascii="Times New Roman" w:hAnsi="Times New Roman" w:cs="Times New Roman"/>
          <w:sz w:val="24"/>
          <w:szCs w:val="24"/>
          <w:lang w:val="en-US"/>
        </w:rPr>
        <w:t xml:space="preserve">is knowledge is </w:t>
      </w:r>
      <w:r w:rsidR="00275E8C">
        <w:rPr>
          <w:rFonts w:ascii="Times New Roman" w:hAnsi="Times New Roman" w:cs="Times New Roman"/>
          <w:sz w:val="24"/>
          <w:szCs w:val="24"/>
          <w:lang w:val="en-US"/>
        </w:rPr>
        <w:t xml:space="preserve">important because </w:t>
      </w:r>
      <w:r w:rsidR="001D2710">
        <w:rPr>
          <w:rFonts w:ascii="Times New Roman" w:hAnsi="Times New Roman" w:cs="Times New Roman"/>
          <w:sz w:val="24"/>
          <w:szCs w:val="24"/>
          <w:lang w:val="en-US"/>
        </w:rPr>
        <w:t xml:space="preserve">women in management represent a pipeline </w:t>
      </w:r>
      <w:r w:rsidR="0026250D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D664F4">
        <w:rPr>
          <w:rFonts w:ascii="Times New Roman" w:hAnsi="Times New Roman" w:cs="Times New Roman"/>
          <w:sz w:val="24"/>
          <w:szCs w:val="24"/>
          <w:lang w:val="en-US"/>
        </w:rPr>
        <w:t xml:space="preserve">women in </w:t>
      </w:r>
      <w:r w:rsidR="0026250D">
        <w:rPr>
          <w:rFonts w:ascii="Times New Roman" w:hAnsi="Times New Roman" w:cs="Times New Roman"/>
          <w:sz w:val="24"/>
          <w:szCs w:val="24"/>
          <w:lang w:val="en-US"/>
        </w:rPr>
        <w:t>senior management and leadership positions</w:t>
      </w:r>
      <w:r w:rsidR="00D664F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 Moreover, there is a </w:t>
      </w:r>
      <w:r w:rsidR="00BA686F">
        <w:rPr>
          <w:rFonts w:ascii="Times New Roman" w:hAnsi="Times New Roman" w:cs="Times New Roman"/>
          <w:sz w:val="24"/>
          <w:szCs w:val="24"/>
          <w:lang w:val="en-US"/>
        </w:rPr>
        <w:t xml:space="preserve">growing awareness that the presence of women in management is associated with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various positive outcomes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ranging from good governance (</w:t>
      </w:r>
      <w:proofErr w:type="spellStart"/>
      <w:r w:rsidR="00D26274">
        <w:rPr>
          <w:rFonts w:ascii="Times New Roman" w:hAnsi="Times New Roman" w:cs="Times New Roman"/>
          <w:sz w:val="24"/>
          <w:szCs w:val="24"/>
          <w:lang w:val="en-US"/>
        </w:rPr>
        <w:t>Jurkus</w:t>
      </w:r>
      <w:proofErr w:type="spellEnd"/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, Park, &amp; Woodard, 2011; </w:t>
      </w:r>
      <w:proofErr w:type="spellStart"/>
      <w:r w:rsidR="00D26274">
        <w:rPr>
          <w:rFonts w:ascii="Times New Roman" w:hAnsi="Times New Roman" w:cs="Times New Roman"/>
          <w:sz w:val="24"/>
          <w:szCs w:val="24"/>
          <w:lang w:val="en-US"/>
        </w:rPr>
        <w:t>Terjesen</w:t>
      </w:r>
      <w:proofErr w:type="spellEnd"/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26274">
        <w:rPr>
          <w:rFonts w:ascii="Times New Roman" w:hAnsi="Times New Roman" w:cs="Times New Roman"/>
          <w:sz w:val="24"/>
          <w:szCs w:val="24"/>
          <w:lang w:val="en-US"/>
        </w:rPr>
        <w:t>Searly</w:t>
      </w:r>
      <w:proofErr w:type="spellEnd"/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, &amp; Singh, 2009), to higher </w:t>
      </w:r>
      <w:r w:rsidR="00BA686F">
        <w:rPr>
          <w:rFonts w:ascii="Times New Roman" w:hAnsi="Times New Roman" w:cs="Times New Roman"/>
          <w:sz w:val="24"/>
          <w:szCs w:val="24"/>
          <w:lang w:val="en-US"/>
        </w:rPr>
        <w:t>organizational performance (</w:t>
      </w:r>
      <w:r w:rsidR="001064F4">
        <w:rPr>
          <w:rFonts w:ascii="Times New Roman" w:hAnsi="Times New Roman" w:cs="Times New Roman"/>
          <w:sz w:val="24"/>
          <w:szCs w:val="24"/>
          <w:lang w:val="en-US"/>
        </w:rPr>
        <w:t xml:space="preserve">Krishnan &amp; Park, 2005; </w:t>
      </w:r>
      <w:r w:rsidR="00BA686F">
        <w:rPr>
          <w:rFonts w:ascii="Times New Roman" w:hAnsi="Times New Roman" w:cs="Times New Roman"/>
          <w:sz w:val="24"/>
          <w:szCs w:val="24"/>
          <w:lang w:val="en-US"/>
        </w:rPr>
        <w:t>Yang &amp; Konrad, 2011)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467E62">
        <w:rPr>
          <w:rFonts w:ascii="Times New Roman" w:hAnsi="Times New Roman" w:cs="Times New Roman"/>
          <w:sz w:val="24"/>
          <w:szCs w:val="24"/>
          <w:lang w:val="en-US"/>
        </w:rPr>
        <w:t xml:space="preserve">positive investor endorsements (Kang, Ding, &amp; </w:t>
      </w:r>
      <w:proofErr w:type="spellStart"/>
      <w:r w:rsidR="00467E62">
        <w:rPr>
          <w:rFonts w:ascii="Times New Roman" w:hAnsi="Times New Roman" w:cs="Times New Roman"/>
          <w:sz w:val="24"/>
          <w:szCs w:val="24"/>
          <w:lang w:val="en-US"/>
        </w:rPr>
        <w:t>Charoenwong</w:t>
      </w:r>
      <w:proofErr w:type="spellEnd"/>
      <w:r w:rsidR="00467E62">
        <w:rPr>
          <w:rFonts w:ascii="Times New Roman" w:hAnsi="Times New Roman" w:cs="Times New Roman"/>
          <w:sz w:val="24"/>
          <w:szCs w:val="24"/>
          <w:lang w:val="en-US"/>
        </w:rPr>
        <w:t>, 2010).</w:t>
      </w:r>
    </w:p>
    <w:p w:rsidR="00F14B20" w:rsidRDefault="00D664F4" w:rsidP="00D831F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37A5F">
        <w:rPr>
          <w:rFonts w:ascii="Times New Roman" w:hAnsi="Times New Roman" w:cs="Times New Roman"/>
          <w:sz w:val="24"/>
          <w:szCs w:val="24"/>
          <w:lang w:val="en-US"/>
        </w:rPr>
        <w:t xml:space="preserve">Consistent with the upper echelon perspective,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 xml:space="preserve">results from our study indicate that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the presence of a female CEO is</w:t>
      </w:r>
      <w:r w:rsidR="00237A5F">
        <w:rPr>
          <w:rFonts w:ascii="Times New Roman" w:hAnsi="Times New Roman" w:cs="Times New Roman"/>
          <w:sz w:val="24"/>
          <w:szCs w:val="24"/>
          <w:lang w:val="en-US"/>
        </w:rPr>
        <w:t xml:space="preserve"> associated with a greater percentage of women in management</w:t>
      </w:r>
      <w:r w:rsidR="00A352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(H1)</w:t>
      </w:r>
      <w:r w:rsidR="005874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52D7">
        <w:rPr>
          <w:rFonts w:ascii="Times New Roman" w:hAnsi="Times New Roman" w:cs="Times New Roman"/>
          <w:sz w:val="24"/>
          <w:szCs w:val="24"/>
          <w:lang w:val="en-US"/>
        </w:rPr>
        <w:t>in the organizations we surveyed</w:t>
      </w:r>
      <w:r w:rsidR="00237A5F">
        <w:rPr>
          <w:rFonts w:ascii="Times New Roman" w:hAnsi="Times New Roman" w:cs="Times New Roman"/>
          <w:sz w:val="24"/>
          <w:szCs w:val="24"/>
          <w:lang w:val="en-US"/>
        </w:rPr>
        <w:t xml:space="preserve">.  Having women at senior levels, particularly in the top job, is important because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female CEOs can guide other women in navigating</w:t>
      </w:r>
      <w:r w:rsidR="00A352D7">
        <w:rPr>
          <w:rFonts w:ascii="Times New Roman" w:hAnsi="Times New Roman" w:cs="Times New Roman"/>
          <w:sz w:val="24"/>
          <w:szCs w:val="24"/>
          <w:lang w:val="en-US"/>
        </w:rPr>
        <w:t xml:space="preserve"> through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the “old boys” network and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 xml:space="preserve">they can assist other women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in ascending </w:t>
      </w:r>
      <w:r w:rsidR="00A352D7">
        <w:rPr>
          <w:rFonts w:ascii="Times New Roman" w:hAnsi="Times New Roman" w:cs="Times New Roman"/>
          <w:sz w:val="24"/>
          <w:szCs w:val="24"/>
          <w:lang w:val="en-US"/>
        </w:rPr>
        <w:t xml:space="preserve">the organizational hierarchy (Hoobler, Lemmon &amp; Wayne, 2011).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Indeed, female CEOs may have experienced discrimination in their strugg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>le to the top job, and may be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more supportive of other women’s careers (Ng, 2008).  This view is also supported by </w:t>
      </w:r>
      <w:proofErr w:type="spellStart"/>
      <w:r w:rsidR="00D26274">
        <w:rPr>
          <w:rFonts w:ascii="Times New Roman" w:hAnsi="Times New Roman" w:cs="Times New Roman"/>
          <w:sz w:val="24"/>
          <w:szCs w:val="24"/>
          <w:lang w:val="en-US"/>
        </w:rPr>
        <w:t>Melero</w:t>
      </w:r>
      <w:proofErr w:type="spellEnd"/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(2011)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ho reported that organizations led by women tend to demonstrate more </w:t>
      </w:r>
      <w:r w:rsidR="00D26274">
        <w:rPr>
          <w:rFonts w:ascii="Times New Roman" w:hAnsi="Times New Roman" w:cs="Times New Roman"/>
          <w:sz w:val="24"/>
          <w:szCs w:val="24"/>
          <w:lang w:val="en-US"/>
        </w:rPr>
        <w:t xml:space="preserve">inclusive styles of management.  </w:t>
      </w:r>
      <w:r w:rsidR="00A352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Furthermore, f</w:t>
      </w:r>
      <w:r w:rsidR="00265552">
        <w:rPr>
          <w:rFonts w:ascii="Times New Roman" w:hAnsi="Times New Roman" w:cs="Times New Roman"/>
          <w:sz w:val="24"/>
          <w:szCs w:val="24"/>
          <w:lang w:val="en-US"/>
        </w:rPr>
        <w:t xml:space="preserve">emale CEOs also act as role models for other women, and may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serve as a </w:t>
      </w:r>
      <w:r w:rsidR="00265552">
        <w:rPr>
          <w:rFonts w:ascii="Times New Roman" w:hAnsi="Times New Roman" w:cs="Times New Roman"/>
          <w:sz w:val="24"/>
          <w:szCs w:val="24"/>
          <w:lang w:val="en-US"/>
        </w:rPr>
        <w:t xml:space="preserve">signal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265552">
        <w:rPr>
          <w:rFonts w:ascii="Times New Roman" w:hAnsi="Times New Roman" w:cs="Times New Roman"/>
          <w:sz w:val="24"/>
          <w:szCs w:val="24"/>
          <w:lang w:val="en-US"/>
        </w:rPr>
        <w:t>an organizati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>on’s climate of inclusion. This may encourage</w:t>
      </w:r>
      <w:r w:rsidR="00265552">
        <w:rPr>
          <w:rFonts w:ascii="Times New Roman" w:hAnsi="Times New Roman" w:cs="Times New Roman"/>
          <w:sz w:val="24"/>
          <w:szCs w:val="24"/>
          <w:lang w:val="en-US"/>
        </w:rPr>
        <w:t xml:space="preserve"> other women to stay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with the organization </w:t>
      </w:r>
      <w:r w:rsidR="00265552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progress into higher levels of management </w:t>
      </w:r>
      <w:r w:rsidR="003A425C">
        <w:rPr>
          <w:rFonts w:ascii="Times New Roman" w:hAnsi="Times New Roman" w:cs="Times New Roman"/>
          <w:sz w:val="24"/>
          <w:szCs w:val="24"/>
          <w:lang w:val="en-US"/>
        </w:rPr>
        <w:t xml:space="preserve">(Sealy &amp; Singh, 2010).  </w:t>
      </w:r>
      <w:r w:rsidR="001B5C23">
        <w:rPr>
          <w:rFonts w:ascii="Times New Roman" w:hAnsi="Times New Roman" w:cs="Times New Roman"/>
          <w:sz w:val="24"/>
          <w:szCs w:val="24"/>
          <w:lang w:val="en-US"/>
        </w:rPr>
        <w:t>Based on this evidence</w:t>
      </w:r>
      <w:r w:rsidR="0058741C">
        <w:rPr>
          <w:rFonts w:ascii="Times New Roman" w:hAnsi="Times New Roman" w:cs="Times New Roman"/>
          <w:sz w:val="24"/>
          <w:szCs w:val="24"/>
          <w:lang w:val="en-US"/>
        </w:rPr>
        <w:t>, our finding that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 the presence of a female CEO</w:t>
      </w:r>
      <w:r w:rsidR="0058741C">
        <w:rPr>
          <w:rFonts w:ascii="Times New Roman" w:hAnsi="Times New Roman" w:cs="Times New Roman"/>
          <w:sz w:val="24"/>
          <w:szCs w:val="24"/>
          <w:lang w:val="en-US"/>
        </w:rPr>
        <w:t xml:space="preserve"> is linked with a higher percentage of women i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n management may be a result of a number of factors including </w:t>
      </w:r>
      <w:r w:rsidR="0058741C">
        <w:rPr>
          <w:rFonts w:ascii="Times New Roman" w:hAnsi="Times New Roman" w:cs="Times New Roman"/>
          <w:sz w:val="24"/>
          <w:szCs w:val="24"/>
          <w:lang w:val="en-US"/>
        </w:rPr>
        <w:t xml:space="preserve">the symbolic role of females in the top job, more inclusive styles of management, and </w:t>
      </w:r>
      <w:r w:rsidR="003D6D28">
        <w:rPr>
          <w:rFonts w:ascii="Times New Roman" w:hAnsi="Times New Roman" w:cs="Times New Roman"/>
          <w:sz w:val="24"/>
          <w:szCs w:val="24"/>
          <w:lang w:val="en-US"/>
        </w:rPr>
        <w:t>an organizational climate where women are less stereotyped and more accepted in management roles.</w:t>
      </w:r>
    </w:p>
    <w:p w:rsidR="00137521" w:rsidRDefault="00F14B20" w:rsidP="0013752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="00675428">
        <w:rPr>
          <w:rFonts w:ascii="Times New Roman" w:hAnsi="Times New Roman" w:cs="Times New Roman"/>
          <w:sz w:val="24"/>
          <w:szCs w:val="24"/>
          <w:lang w:val="en-US"/>
        </w:rPr>
        <w:t xml:space="preserve">Resource dependency theory suggests that organizations will acquire and develop resources necessary for survival.  As evidence on 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the positive effects of </w:t>
      </w:r>
      <w:r w:rsidR="0041133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675428">
        <w:rPr>
          <w:rFonts w:ascii="Times New Roman" w:hAnsi="Times New Roman" w:cs="Times New Roman"/>
          <w:sz w:val="24"/>
          <w:szCs w:val="24"/>
          <w:lang w:val="en-US"/>
        </w:rPr>
        <w:t xml:space="preserve">inclusion of women in 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the workplace </w:t>
      </w:r>
      <w:r w:rsidR="00675428">
        <w:rPr>
          <w:rFonts w:ascii="Times New Roman" w:hAnsi="Times New Roman" w:cs="Times New Roman"/>
          <w:sz w:val="24"/>
          <w:szCs w:val="24"/>
          <w:lang w:val="en-US"/>
        </w:rPr>
        <w:t xml:space="preserve">accumulates, organizations are 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>actively recruiting women to comply with EEO/AA requirements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 xml:space="preserve"> (Ng &amp; Burke, 2010)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 xml:space="preserve">to gain a competitive advantage in the marketplace (Konrad, 2007), as well as to gain 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>legitimacy with stakeholders (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>Kang et al.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>, 2010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Thus, organizations may 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 xml:space="preserve">ramp up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 xml:space="preserve">their recruitment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and promotion activities relating to 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 xml:space="preserve">women as a means to acquire valuable resources and to gain marketplace advantage. 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Furthermore, the pipeline theory would suggest that augmenting the number of women at lower levels should, in turn, increase female representation </w:t>
      </w:r>
      <w:r w:rsidR="007335CF">
        <w:rPr>
          <w:rFonts w:ascii="Times New Roman" w:hAnsi="Times New Roman" w:cs="Times New Roman"/>
          <w:sz w:val="24"/>
          <w:szCs w:val="24"/>
          <w:lang w:val="en-US"/>
        </w:rPr>
        <w:t xml:space="preserve">levels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>in management.  To the extent that this is true, a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 xml:space="preserve"> cr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itical mass of women may also 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>change the all-male dynamic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 xml:space="preserve"> and result in more equality in promotion opportunities (Konrad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 et al., 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 xml:space="preserve">2008; </w:t>
      </w:r>
      <w:proofErr w:type="spellStart"/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>Soe</w:t>
      </w:r>
      <w:proofErr w:type="spellEnd"/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&amp; 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>Yakura,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27C9" w:rsidRPr="00D831F4">
        <w:rPr>
          <w:rFonts w:ascii="Times New Roman" w:hAnsi="Times New Roman" w:cs="Times New Roman"/>
          <w:sz w:val="24"/>
          <w:szCs w:val="24"/>
          <w:lang w:val="en-US"/>
        </w:rPr>
        <w:t>2008).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  In line with this premise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>, w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>e found that organi</w:t>
      </w:r>
      <w:r w:rsidR="00833822">
        <w:rPr>
          <w:rFonts w:ascii="Times New Roman" w:hAnsi="Times New Roman" w:cs="Times New Roman"/>
          <w:sz w:val="24"/>
          <w:szCs w:val="24"/>
          <w:lang w:val="en-US"/>
        </w:rPr>
        <w:t>zations that actively recruit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 women also </w:t>
      </w:r>
      <w:r w:rsidR="005A7119">
        <w:rPr>
          <w:rFonts w:ascii="Times New Roman" w:hAnsi="Times New Roman" w:cs="Times New Roman"/>
          <w:sz w:val="24"/>
          <w:szCs w:val="24"/>
          <w:lang w:val="en-US"/>
        </w:rPr>
        <w:t xml:space="preserve">reported </w:t>
      </w:r>
      <w:r w:rsidR="007319A7">
        <w:rPr>
          <w:rFonts w:ascii="Times New Roman" w:hAnsi="Times New Roman" w:cs="Times New Roman"/>
          <w:sz w:val="24"/>
          <w:szCs w:val="24"/>
          <w:lang w:val="en-US"/>
        </w:rPr>
        <w:t xml:space="preserve">a greater percentage of women in management (H2). 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This finding </w:t>
      </w:r>
      <w:r w:rsidR="00137521">
        <w:rPr>
          <w:rFonts w:ascii="Times New Roman" w:hAnsi="Times New Roman" w:cs="Times New Roman"/>
          <w:sz w:val="24"/>
          <w:szCs w:val="24"/>
          <w:lang w:val="en-US"/>
        </w:rPr>
        <w:t xml:space="preserve">is important because it reinforces the business case for the hiring of women, and their subsequent career advancement.  </w:t>
      </w:r>
    </w:p>
    <w:p w:rsidR="00675428" w:rsidRDefault="00833822" w:rsidP="0013752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Although </w:t>
      </w:r>
      <w:r w:rsidR="000127C9">
        <w:rPr>
          <w:rFonts w:ascii="Times New Roman" w:hAnsi="Times New Roman" w:cs="Times New Roman"/>
          <w:sz w:val="24"/>
          <w:szCs w:val="24"/>
          <w:lang w:val="en-US"/>
        </w:rPr>
        <w:t xml:space="preserve">the promotion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women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into management positions may be viewed as generally advantageous to organizations, resource dependency theory suggests that </w:t>
      </w:r>
      <w:r>
        <w:rPr>
          <w:rFonts w:ascii="Times New Roman" w:hAnsi="Times New Roman" w:cs="Times New Roman"/>
          <w:sz w:val="24"/>
          <w:szCs w:val="24"/>
          <w:lang w:val="en-US"/>
        </w:rPr>
        <w:t>organizatio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>ns will recruit and promote women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668A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the extent that they are valued in the marketplace.  When firms are dependent on 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>foreign operations for surviva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>l, and when foreigners express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 prejudice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 in dealing with women (Adler, 1994;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 Tung, 2004), organizations may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 curtail the deployment of women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 abroad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 As a consequence, women may</w:t>
      </w:r>
      <w:r w:rsidR="008B668A">
        <w:rPr>
          <w:rFonts w:ascii="Times New Roman" w:hAnsi="Times New Roman" w:cs="Times New Roman"/>
          <w:sz w:val="24"/>
          <w:szCs w:val="24"/>
          <w:lang w:val="en-US"/>
        </w:rPr>
        <w:t xml:space="preserve"> no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 longer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favored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>for promotions into management given that they may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 not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be considered 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>a necessary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 xml:space="preserve"> resource for survival</w:t>
      </w:r>
      <w:r w:rsidR="008C3D8B" w:rsidRPr="008C3D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and as a result of the</w:t>
      </w:r>
      <w:r w:rsidR="008C3D8B">
        <w:rPr>
          <w:rFonts w:ascii="Times New Roman" w:hAnsi="Times New Roman" w:cs="Times New Roman"/>
          <w:sz w:val="24"/>
          <w:szCs w:val="24"/>
          <w:lang w:val="en-US"/>
        </w:rPr>
        <w:t xml:space="preserve"> reduced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 developmental opportunities they receive. </w:t>
      </w:r>
      <w:r w:rsidR="00BC32E0">
        <w:rPr>
          <w:rFonts w:ascii="Times New Roman" w:hAnsi="Times New Roman" w:cs="Times New Roman"/>
          <w:sz w:val="24"/>
          <w:szCs w:val="24"/>
          <w:lang w:val="en-US"/>
        </w:rPr>
        <w:t>Consistent with this premise</w:t>
      </w:r>
      <w:r w:rsidR="000306FE">
        <w:rPr>
          <w:rFonts w:ascii="Times New Roman" w:hAnsi="Times New Roman" w:cs="Times New Roman"/>
          <w:sz w:val="24"/>
          <w:szCs w:val="24"/>
          <w:lang w:val="en-US"/>
        </w:rPr>
        <w:t xml:space="preserve">, we observed that firms </w:t>
      </w:r>
      <w:r w:rsidR="008B668A">
        <w:rPr>
          <w:rFonts w:ascii="Times New Roman" w:hAnsi="Times New Roman" w:cs="Times New Roman"/>
          <w:sz w:val="24"/>
          <w:szCs w:val="24"/>
          <w:lang w:val="en-US"/>
        </w:rPr>
        <w:t xml:space="preserve">with a greater proportion of revenues from international operations reported </w:t>
      </w:r>
      <w:r w:rsidR="008B668A">
        <w:rPr>
          <w:rFonts w:ascii="Times New Roman" w:hAnsi="Times New Roman" w:cs="Times New Roman"/>
          <w:sz w:val="24"/>
          <w:szCs w:val="24"/>
          <w:lang w:val="en-US"/>
        </w:rPr>
        <w:lastRenderedPageBreak/>
        <w:t>fewer women in management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 xml:space="preserve"> (H3)</w:t>
      </w:r>
      <w:r w:rsidR="008B668A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4C553D">
        <w:rPr>
          <w:rFonts w:ascii="Times New Roman" w:hAnsi="Times New Roman" w:cs="Times New Roman"/>
          <w:sz w:val="24"/>
          <w:szCs w:val="24"/>
          <w:lang w:val="en-US"/>
        </w:rPr>
        <w:t xml:space="preserve">This is a cause for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some concern </w:t>
      </w:r>
      <w:r w:rsidR="008C3D8B">
        <w:rPr>
          <w:rFonts w:ascii="Times New Roman" w:hAnsi="Times New Roman" w:cs="Times New Roman"/>
          <w:sz w:val="24"/>
          <w:szCs w:val="24"/>
          <w:lang w:val="en-US"/>
        </w:rPr>
        <w:t xml:space="preserve">inasmuch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as it appears that women may </w:t>
      </w:r>
      <w:r w:rsidR="004C553D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4C553D">
        <w:rPr>
          <w:rFonts w:ascii="Times New Roman" w:hAnsi="Times New Roman" w:cs="Times New Roman"/>
          <w:sz w:val="24"/>
          <w:szCs w:val="24"/>
          <w:lang w:val="en-US"/>
        </w:rPr>
        <w:t xml:space="preserve">hired or promoted 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by the organization </w:t>
      </w:r>
      <w:r w:rsidR="004C553D">
        <w:rPr>
          <w:rFonts w:ascii="Times New Roman" w:hAnsi="Times New Roman" w:cs="Times New Roman"/>
          <w:sz w:val="24"/>
          <w:szCs w:val="24"/>
          <w:lang w:val="en-US"/>
        </w:rPr>
        <w:t xml:space="preserve">when their interests (women’s careers) coincide with those of the firm.  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 xml:space="preserve">In a 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 xml:space="preserve">similar </w:t>
      </w:r>
      <w:r w:rsidR="004C553D">
        <w:rPr>
          <w:rFonts w:ascii="Times New Roman" w:hAnsi="Times New Roman" w:cs="Times New Roman"/>
          <w:sz w:val="24"/>
          <w:szCs w:val="24"/>
          <w:lang w:val="en-US"/>
        </w:rPr>
        <w:t>fashion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also postulated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in this study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-owned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 xml:space="preserve"> f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irms will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be less inclined to hire and </w:t>
      </w:r>
      <w:r w:rsidR="000F38B6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mote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>women into managemen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t as, in some </w:t>
      </w:r>
      <w:proofErr w:type="gramStart"/>
      <w:r w:rsidR="00CC5FB5">
        <w:rPr>
          <w:rFonts w:ascii="Times New Roman" w:hAnsi="Times New Roman" w:cs="Times New Roman"/>
          <w:sz w:val="24"/>
          <w:szCs w:val="24"/>
          <w:lang w:val="en-US"/>
        </w:rPr>
        <w:t>instances,</w:t>
      </w:r>
      <w:proofErr w:type="gramEnd"/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 they may be less likely to view women as 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>necessary for organizational survival.  Although we fail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 xml:space="preserve"> to find statistically significant support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>for this premise (p=.072), our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 xml:space="preserve"> pattern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of results 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 xml:space="preserve">does suggest a 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 xml:space="preserve">modest 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>negative relationship between foreign ownership and female representation in man</w:t>
      </w:r>
      <w:r w:rsidR="000B7A67">
        <w:rPr>
          <w:rFonts w:ascii="Times New Roman" w:hAnsi="Times New Roman" w:cs="Times New Roman"/>
          <w:sz w:val="24"/>
          <w:szCs w:val="24"/>
          <w:lang w:val="en-US"/>
        </w:rPr>
        <w:t>agement (H4).  G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>iven external pressures to comply with local EEO/AA laws, foreign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-owned</w:t>
      </w:r>
      <w:r w:rsidR="008324EC">
        <w:rPr>
          <w:rFonts w:ascii="Times New Roman" w:hAnsi="Times New Roman" w:cs="Times New Roman"/>
          <w:sz w:val="24"/>
          <w:szCs w:val="24"/>
          <w:lang w:val="en-US"/>
        </w:rPr>
        <w:t xml:space="preserve"> firms may be compelled to employ women to the extent that is required by local law</w:t>
      </w:r>
      <w:r w:rsidR="00CA47C3">
        <w:rPr>
          <w:rFonts w:ascii="Times New Roman" w:hAnsi="Times New Roman" w:cs="Times New Roman"/>
          <w:sz w:val="24"/>
          <w:szCs w:val="24"/>
          <w:lang w:val="en-US"/>
        </w:rPr>
        <w:t xml:space="preserve">.  In Canada, all federally regulated firms, regardless of ownership are required to comply with EEO/AA </w:t>
      </w:r>
      <w:r w:rsidR="00A35DAC">
        <w:rPr>
          <w:rFonts w:ascii="Times New Roman" w:hAnsi="Times New Roman" w:cs="Times New Roman"/>
          <w:sz w:val="24"/>
          <w:szCs w:val="24"/>
          <w:lang w:val="en-US"/>
        </w:rPr>
        <w:t xml:space="preserve">legislation (Ng &amp; Burke, 2010) – this </w:t>
      </w:r>
      <w:r w:rsidR="008978D2">
        <w:rPr>
          <w:rFonts w:ascii="Times New Roman" w:hAnsi="Times New Roman" w:cs="Times New Roman"/>
          <w:sz w:val="24"/>
          <w:szCs w:val="24"/>
          <w:lang w:val="en-US"/>
        </w:rPr>
        <w:t xml:space="preserve">may </w:t>
      </w:r>
      <w:r w:rsidR="00A35DAC">
        <w:rPr>
          <w:rFonts w:ascii="Times New Roman" w:hAnsi="Times New Roman" w:cs="Times New Roman"/>
          <w:sz w:val="24"/>
          <w:szCs w:val="24"/>
          <w:lang w:val="en-US"/>
        </w:rPr>
        <w:t xml:space="preserve">partly </w:t>
      </w:r>
      <w:r w:rsidR="00CA47C3">
        <w:rPr>
          <w:rFonts w:ascii="Times New Roman" w:hAnsi="Times New Roman" w:cs="Times New Roman"/>
          <w:sz w:val="24"/>
          <w:szCs w:val="24"/>
          <w:lang w:val="en-US"/>
        </w:rPr>
        <w:t xml:space="preserve">explain the </w:t>
      </w:r>
      <w:r w:rsidR="001D5FED">
        <w:rPr>
          <w:rFonts w:ascii="Times New Roman" w:hAnsi="Times New Roman" w:cs="Times New Roman"/>
          <w:sz w:val="24"/>
          <w:szCs w:val="24"/>
          <w:lang w:val="en-US"/>
        </w:rPr>
        <w:t xml:space="preserve">lack of statistical significance for this </w:t>
      </w:r>
      <w:r w:rsidR="00CA47C3">
        <w:rPr>
          <w:rFonts w:ascii="Times New Roman" w:hAnsi="Times New Roman" w:cs="Times New Roman"/>
          <w:sz w:val="24"/>
          <w:szCs w:val="24"/>
          <w:lang w:val="en-US"/>
        </w:rPr>
        <w:t>finding (H4)</w:t>
      </w:r>
      <w:r w:rsidR="001D5F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35DAC" w:rsidRDefault="00A35DAC" w:rsidP="00D831F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352D7" w:rsidRDefault="00342690" w:rsidP="003D6D2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Conclusion and Limitations</w:t>
      </w:r>
    </w:p>
    <w:p w:rsidR="008978D2" w:rsidRDefault="00A35DAC" w:rsidP="008978D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Drawing on a macro-level conceptual framework, this study investigated the relationship between key </w:t>
      </w:r>
      <w:r w:rsidR="005C2330">
        <w:rPr>
          <w:rFonts w:ascii="Times New Roman" w:hAnsi="Times New Roman" w:cs="Times New Roman"/>
          <w:sz w:val="24"/>
          <w:szCs w:val="24"/>
          <w:lang w:val="en-US"/>
        </w:rPr>
        <w:t xml:space="preserve">organizational 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characteristics </w:t>
      </w:r>
      <w:r>
        <w:rPr>
          <w:rFonts w:ascii="Times New Roman" w:hAnsi="Times New Roman" w:cs="Times New Roman"/>
          <w:sz w:val="24"/>
          <w:szCs w:val="24"/>
          <w:lang w:val="en-US"/>
        </w:rPr>
        <w:t>and strategies and the proportion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 of women in management.  It contributes to extant literature on the barriers facing women in the workplace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 on multiple fronts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First, m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uch of existing literature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on women in management 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>has focused on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 the role of 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>individual</w:t>
      </w:r>
      <w:r>
        <w:rPr>
          <w:rFonts w:ascii="Times New Roman" w:hAnsi="Times New Roman" w:cs="Times New Roman"/>
          <w:sz w:val="24"/>
          <w:szCs w:val="24"/>
          <w:lang w:val="en-US"/>
        </w:rPr>
        <w:t>-level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 psychological variables (e.g., self-efficacy, gender role s</w:t>
      </w:r>
      <w:r>
        <w:rPr>
          <w:rFonts w:ascii="Times New Roman" w:hAnsi="Times New Roman" w:cs="Times New Roman"/>
          <w:sz w:val="24"/>
          <w:szCs w:val="24"/>
          <w:lang w:val="en-US"/>
        </w:rPr>
        <w:t>ocialization) and interpersonal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 biases (e.g., discrimination, stereotyping)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limit</w:t>
      </w:r>
      <w:r w:rsidR="00CC5FB5">
        <w:rPr>
          <w:rFonts w:ascii="Times New Roman" w:hAnsi="Times New Roman" w:cs="Times New Roman"/>
          <w:sz w:val="24"/>
          <w:szCs w:val="24"/>
          <w:lang w:val="en-US"/>
        </w:rPr>
        <w:t>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progression of women into management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This study 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extends </w:t>
      </w:r>
      <w:r w:rsidR="006F48F0">
        <w:rPr>
          <w:rFonts w:ascii="Times New Roman" w:hAnsi="Times New Roman" w:cs="Times New Roman"/>
          <w:sz w:val="24"/>
          <w:szCs w:val="24"/>
          <w:lang w:val="en-US"/>
        </w:rPr>
        <w:t xml:space="preserve">prior 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research by </w:t>
      </w:r>
      <w:r w:rsidR="005E30E4">
        <w:rPr>
          <w:rFonts w:ascii="Times New Roman" w:hAnsi="Times New Roman" w:cs="Times New Roman"/>
          <w:sz w:val="24"/>
          <w:szCs w:val="24"/>
          <w:lang w:val="en-US"/>
        </w:rPr>
        <w:t xml:space="preserve">contributing 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to our understanding of </w:t>
      </w:r>
      <w:r w:rsidR="005E30E4">
        <w:rPr>
          <w:rFonts w:ascii="Times New Roman" w:hAnsi="Times New Roman" w:cs="Times New Roman"/>
          <w:sz w:val="24"/>
          <w:szCs w:val="24"/>
          <w:lang w:val="en-US"/>
        </w:rPr>
        <w:t>the role of macro-level factors in facilitating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or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 limit</w:t>
      </w:r>
      <w:r w:rsidR="005E30E4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 xml:space="preserve"> the advancement of women into management. 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>Interestingly, our results indicate that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four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>focal variables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examined in this study -- CEO 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lastRenderedPageBreak/>
        <w:t>gender</w:t>
      </w:r>
      <w:r w:rsidR="009A7F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recruitment strategies targeting women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, firm internationalization, and foreign ownership </w:t>
      </w:r>
      <w:r w:rsidR="001D5FED">
        <w:rPr>
          <w:rFonts w:ascii="Times New Roman" w:hAnsi="Times New Roman" w:cs="Times New Roman"/>
          <w:sz w:val="24"/>
          <w:szCs w:val="24"/>
          <w:lang w:val="en-US"/>
        </w:rPr>
        <w:t xml:space="preserve">--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explained 25 percent of the variance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in female representation rates in management, above and beyond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 that e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xplained by our two control variables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(see Table 2).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 xml:space="preserve"> This finding underlines the key contribution that macro-level organization’s characteristics and strategies may play in explaining female advancement into management.</w:t>
      </w:r>
    </w:p>
    <w:p w:rsidR="00D03F57" w:rsidRDefault="005E30E4" w:rsidP="008978D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="00F816F5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ll, our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findings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suggest that although firms exercise discretion with respect to hiring and advancing women in the workplace, they are also constrained by</w:t>
      </w:r>
      <w:r w:rsidR="00620F0E">
        <w:rPr>
          <w:rFonts w:ascii="Times New Roman" w:hAnsi="Times New Roman" w:cs="Times New Roman"/>
          <w:sz w:val="24"/>
          <w:szCs w:val="24"/>
          <w:lang w:val="en-US"/>
        </w:rPr>
        <w:t xml:space="preserve"> the external environment. For instance,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marketplace demands (e.g., doing business with foreigners) and compliance with loc</w:t>
      </w:r>
      <w:r w:rsidR="00290C2E">
        <w:rPr>
          <w:rFonts w:ascii="Times New Roman" w:hAnsi="Times New Roman" w:cs="Times New Roman"/>
          <w:sz w:val="24"/>
          <w:szCs w:val="24"/>
          <w:lang w:val="en-US"/>
        </w:rPr>
        <w:t>al EEO/AA laws may dictate a firm’s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 practices with respect to the advancement of women into management.  The negative regression coefficient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internationalization and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foreign ownership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on the percentage of women in management are 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>particularly noteworthy.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  Advocates for the “business case”</w:t>
      </w:r>
      <w:r w:rsidR="00D03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of diversity will argue that firms will promote diversity at work because of marketplace </w:t>
      </w:r>
      <w:proofErr w:type="gramStart"/>
      <w:r w:rsidR="00516D98">
        <w:rPr>
          <w:rFonts w:ascii="Times New Roman" w:hAnsi="Times New Roman" w:cs="Times New Roman"/>
          <w:sz w:val="24"/>
          <w:szCs w:val="24"/>
          <w:lang w:val="en-US"/>
        </w:rPr>
        <w:t>dem</w:t>
      </w:r>
      <w:r w:rsidR="007C7A92">
        <w:rPr>
          <w:rFonts w:ascii="Times New Roman" w:hAnsi="Times New Roman" w:cs="Times New Roman"/>
          <w:sz w:val="24"/>
          <w:szCs w:val="24"/>
          <w:lang w:val="en-US"/>
        </w:rPr>
        <w:t>ands,</w:t>
      </w:r>
      <w:proofErr w:type="gramEnd"/>
      <w:r w:rsidR="007C7A92">
        <w:rPr>
          <w:rFonts w:ascii="Times New Roman" w:hAnsi="Times New Roman" w:cs="Times New Roman"/>
          <w:sz w:val="24"/>
          <w:szCs w:val="24"/>
          <w:lang w:val="en-US"/>
        </w:rPr>
        <w:t xml:space="preserve"> however, we found that various marketplace demands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could </w:t>
      </w:r>
      <w:r w:rsidR="00290C2E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>detr</w:t>
      </w:r>
      <w:r w:rsidR="007C7A92">
        <w:rPr>
          <w:rFonts w:ascii="Times New Roman" w:hAnsi="Times New Roman" w:cs="Times New Roman"/>
          <w:sz w:val="24"/>
          <w:szCs w:val="24"/>
          <w:lang w:val="en-US"/>
        </w:rPr>
        <w:t xml:space="preserve">imental to women’s careers particularly in the case of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firms </w:t>
      </w:r>
      <w:r w:rsidR="007C7A92">
        <w:rPr>
          <w:rFonts w:ascii="Times New Roman" w:hAnsi="Times New Roman" w:cs="Times New Roman"/>
          <w:sz w:val="24"/>
          <w:szCs w:val="24"/>
          <w:lang w:val="en-US"/>
        </w:rPr>
        <w:t xml:space="preserve">who 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>are dependent on foreign revenues.  Furthermore, the presence of local laws (e.g., EEO/AA legislation in Canada) may serve to compel foreign firms</w:t>
      </w:r>
      <w:r w:rsidR="00290C2E">
        <w:rPr>
          <w:rFonts w:ascii="Times New Roman" w:hAnsi="Times New Roman" w:cs="Times New Roman"/>
          <w:sz w:val="24"/>
          <w:szCs w:val="24"/>
          <w:lang w:val="en-US"/>
        </w:rPr>
        <w:t xml:space="preserve"> to more actively recruit and promote </w:t>
      </w:r>
      <w:proofErr w:type="gramStart"/>
      <w:r w:rsidR="00290C2E">
        <w:rPr>
          <w:rFonts w:ascii="Times New Roman" w:hAnsi="Times New Roman" w:cs="Times New Roman"/>
          <w:sz w:val="24"/>
          <w:szCs w:val="24"/>
          <w:lang w:val="en-US"/>
        </w:rPr>
        <w:t>women</w:t>
      </w:r>
      <w:r w:rsidR="00516D98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="00516D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0C2E">
        <w:rPr>
          <w:rFonts w:ascii="Times New Roman" w:hAnsi="Times New Roman" w:cs="Times New Roman"/>
          <w:sz w:val="24"/>
          <w:szCs w:val="24"/>
          <w:lang w:val="en-US"/>
        </w:rPr>
        <w:t>particularly firms who may have otherwise not have considered taking such measures.</w:t>
      </w:r>
    </w:p>
    <w:p w:rsidR="00A15C42" w:rsidRPr="003620D8" w:rsidRDefault="00516D98" w:rsidP="002964F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few l</w:t>
      </w:r>
      <w:r w:rsidR="0058741C">
        <w:rPr>
          <w:rFonts w:ascii="Times New Roman" w:hAnsi="Times New Roman" w:cs="Times New Roman"/>
          <w:sz w:val="24"/>
          <w:szCs w:val="24"/>
          <w:lang w:val="en-US"/>
        </w:rPr>
        <w:t>imitation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should be noted to put our findings in perspective.  First,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while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>our findings suggest that female CEOs may result in a greater percentage of women in man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>agement, it is also possible that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organizations with more women in ma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 xml:space="preserve">nagement are more inclined to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appoint female CEOs. The pipeline effect would suggest, </w:t>
      </w:r>
      <w:r w:rsidR="001D7C54">
        <w:rPr>
          <w:rFonts w:ascii="Times New Roman" w:hAnsi="Times New Roman" w:cs="Times New Roman"/>
          <w:sz w:val="24"/>
          <w:szCs w:val="24"/>
          <w:lang w:val="en-US"/>
        </w:rPr>
        <w:t xml:space="preserve">in the long run, increasing the number of women would lead to greater representation of women in management. 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>Thus, f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uture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longitudinal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research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is needed to confirm the causal direction of the relationship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 xml:space="preserve">between CEO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gender and female representation in management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reported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in this study.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 Second, the response rate for our study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was somewhat low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lthough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it is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comparable to that of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other field studies involving surveys of senior executives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(Judge and Dobbins 1995; </w:t>
      </w:r>
      <w:proofErr w:type="spellStart"/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Westphal</w:t>
      </w:r>
      <w:proofErr w:type="spellEnd"/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 1999)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>.  O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ur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findings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should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therefore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be interpreted with 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>that in mind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 Third, our study was conducted with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>CEOs and firms operating in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 Canada. Thus, it is not clear the extent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to which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 xml:space="preserve">our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findings will generalize to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 xml:space="preserve">organizations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other countries having different or no legislation supporting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>women and minorities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>In this regard, we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strongly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encourage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future studies </w:t>
      </w:r>
      <w:r w:rsidR="00601162">
        <w:rPr>
          <w:rFonts w:ascii="Times New Roman" w:hAnsi="Times New Roman" w:cs="Times New Roman"/>
          <w:sz w:val="24"/>
          <w:szCs w:val="24"/>
          <w:lang w:val="en-US"/>
        </w:rPr>
        <w:t xml:space="preserve">examining predictors of female representation in management to be </w:t>
      </w:r>
      <w:r w:rsidR="005E30E4">
        <w:rPr>
          <w:rFonts w:ascii="Times New Roman" w:hAnsi="Times New Roman" w:cs="Times New Roman"/>
          <w:sz w:val="24"/>
          <w:szCs w:val="24"/>
          <w:lang w:val="en-US"/>
        </w:rPr>
        <w:t xml:space="preserve">conducted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in different contexts.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Research conducted in different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 xml:space="preserve">countries, industries, and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cultural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contexts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will be particularly valuable in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 xml:space="preserve">furthering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7E51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5130" w:rsidRPr="007E5130">
        <w:rPr>
          <w:rFonts w:ascii="Times New Roman" w:hAnsi="Times New Roman" w:cs="Times New Roman"/>
          <w:sz w:val="24"/>
          <w:szCs w:val="24"/>
          <w:lang w:val="en-US"/>
        </w:rPr>
        <w:t xml:space="preserve">understanding of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these organizational characteristics and strategies and </w:t>
      </w:r>
      <w:r w:rsidR="001D5FED">
        <w:rPr>
          <w:rFonts w:ascii="Times New Roman" w:hAnsi="Times New Roman" w:cs="Times New Roman"/>
          <w:sz w:val="24"/>
          <w:szCs w:val="24"/>
          <w:lang w:val="en-US"/>
        </w:rPr>
        <w:t xml:space="preserve">how </w:t>
      </w:r>
      <w:r w:rsidR="002964F3">
        <w:rPr>
          <w:rFonts w:ascii="Times New Roman" w:hAnsi="Times New Roman" w:cs="Times New Roman"/>
          <w:sz w:val="24"/>
          <w:szCs w:val="24"/>
          <w:lang w:val="en-US"/>
        </w:rPr>
        <w:t xml:space="preserve">they combine with environmental pressures to </w:t>
      </w:r>
      <w:r w:rsidR="000205E6">
        <w:rPr>
          <w:rFonts w:ascii="Times New Roman" w:hAnsi="Times New Roman" w:cs="Times New Roman"/>
          <w:sz w:val="24"/>
          <w:szCs w:val="24"/>
          <w:lang w:val="en-US"/>
        </w:rPr>
        <w:t>promote or limit women’s career advancement.</w:t>
      </w: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1162" w:rsidRDefault="00601162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7277E" w:rsidRPr="003620D8" w:rsidRDefault="004016B7" w:rsidP="003620D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620D8">
        <w:rPr>
          <w:rFonts w:ascii="Times New Roman" w:hAnsi="Times New Roman" w:cs="Times New Roman"/>
          <w:sz w:val="24"/>
          <w:szCs w:val="24"/>
          <w:lang w:val="en-US"/>
        </w:rPr>
        <w:t>References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Adler, N. J. (1994). Competitive frontiers: Women managing across borders.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Journal of Management Development,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13</w:t>
      </w:r>
      <w:r w:rsidRPr="000205E6">
        <w:rPr>
          <w:color w:val="000000"/>
        </w:rPr>
        <w:t>(2), 24-41.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Ainsworth, S., Knox, A., &amp; </w:t>
      </w:r>
      <w:proofErr w:type="spellStart"/>
      <w:r w:rsidRPr="000205E6">
        <w:rPr>
          <w:color w:val="000000"/>
        </w:rPr>
        <w:t>O'Flynn</w:t>
      </w:r>
      <w:proofErr w:type="spellEnd"/>
      <w:r w:rsidRPr="000205E6">
        <w:rPr>
          <w:color w:val="000000"/>
        </w:rPr>
        <w:t>, J. (2010).</w:t>
      </w:r>
      <w:proofErr w:type="gramEnd"/>
      <w:r w:rsidRPr="000205E6">
        <w:rPr>
          <w:color w:val="000000"/>
        </w:rPr>
        <w:t xml:space="preserve"> ‘A blinding lack of progress’: Management rhetoric and affirmative action.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Gender, Work and Organization,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17</w:t>
      </w:r>
      <w:r w:rsidRPr="000205E6">
        <w:rPr>
          <w:color w:val="000000"/>
        </w:rPr>
        <w:t xml:space="preserve">(6), 658-678.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r w:rsidRPr="000205E6">
        <w:rPr>
          <w:color w:val="000000"/>
        </w:rPr>
        <w:t>Aycan</w:t>
      </w:r>
      <w:proofErr w:type="spellEnd"/>
      <w:r w:rsidRPr="000205E6">
        <w:rPr>
          <w:color w:val="000000"/>
        </w:rPr>
        <w:t>, Z. (2004). Key success factors for women in management in turkey.</w:t>
      </w:r>
      <w:r w:rsidRPr="000205E6">
        <w:rPr>
          <w:rStyle w:val="apple-converted-space"/>
          <w:i/>
          <w:iCs/>
          <w:color w:val="000000"/>
        </w:rPr>
        <w:t> </w:t>
      </w:r>
      <w:proofErr w:type="gramStart"/>
      <w:r w:rsidRPr="000205E6">
        <w:rPr>
          <w:i/>
          <w:iCs/>
          <w:color w:val="000000"/>
        </w:rPr>
        <w:t>Applied Psychology,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53</w:t>
      </w:r>
      <w:r w:rsidRPr="000205E6">
        <w:rPr>
          <w:color w:val="000000"/>
        </w:rPr>
        <w:t>(3), 453-477.</w:t>
      </w:r>
      <w:proofErr w:type="gramEnd"/>
      <w:r w:rsidRPr="000205E6">
        <w:rPr>
          <w:color w:val="000000"/>
        </w:rPr>
        <w:t xml:space="preserve">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Bamberger, P., </w:t>
      </w:r>
      <w:proofErr w:type="spellStart"/>
      <w:r w:rsidRPr="000205E6">
        <w:rPr>
          <w:color w:val="000000"/>
        </w:rPr>
        <w:t>Admati-Dvir</w:t>
      </w:r>
      <w:proofErr w:type="spellEnd"/>
      <w:r w:rsidRPr="000205E6">
        <w:rPr>
          <w:color w:val="000000"/>
        </w:rPr>
        <w:t xml:space="preserve">, M., &amp; </w:t>
      </w:r>
      <w:proofErr w:type="spellStart"/>
      <w:r w:rsidRPr="000205E6">
        <w:rPr>
          <w:color w:val="000000"/>
        </w:rPr>
        <w:t>Harel</w:t>
      </w:r>
      <w:proofErr w:type="spellEnd"/>
      <w:r w:rsidRPr="000205E6">
        <w:rPr>
          <w:color w:val="000000"/>
        </w:rPr>
        <w:t>, G. (1995).</w:t>
      </w:r>
      <w:proofErr w:type="gramEnd"/>
      <w:r w:rsidRPr="000205E6">
        <w:rPr>
          <w:color w:val="000000"/>
        </w:rPr>
        <w:t xml:space="preserve"> Gender-based wage and promotion discrimination in Israeli high-technology firms: Do unions make a difference?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Academy of Management Journal</w:t>
      </w:r>
      <w:proofErr w:type="gramStart"/>
      <w:r w:rsidRPr="000205E6">
        <w:rPr>
          <w:i/>
          <w:iCs/>
          <w:color w:val="000000"/>
        </w:rPr>
        <w:t>,38</w:t>
      </w:r>
      <w:proofErr w:type="gramEnd"/>
      <w:r w:rsidRPr="000205E6">
        <w:rPr>
          <w:color w:val="000000"/>
        </w:rPr>
        <w:t>(6), 1744-1761.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Black, J. S., &amp; Gregersen, H. B. (1999).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The right way to manage expats.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Harvard Business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77</w:t>
      </w:r>
      <w:r w:rsidRPr="000205E6">
        <w:rPr>
          <w:color w:val="000000"/>
        </w:rPr>
        <w:t xml:space="preserve">(2), 52-62.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Blum, T. C., Fields, D. L., &amp; Goodman, J. S. (1994).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Organization-level determinants of women in management.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Academy of Management Journal,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37</w:t>
      </w:r>
      <w:r w:rsidRPr="000205E6">
        <w:rPr>
          <w:color w:val="000000"/>
        </w:rPr>
        <w:t>(2), 241-268.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</w:pPr>
      <w:proofErr w:type="gramStart"/>
      <w:r w:rsidRPr="000205E6">
        <w:rPr>
          <w:color w:val="000000"/>
        </w:rPr>
        <w:t>Catalyst (2011).</w:t>
      </w:r>
      <w:proofErr w:type="gramEnd"/>
      <w:r w:rsidRPr="000205E6">
        <w:rPr>
          <w:color w:val="000000"/>
        </w:rPr>
        <w:t xml:space="preserve">  </w:t>
      </w:r>
      <w:proofErr w:type="gramStart"/>
      <w:r w:rsidRPr="000205E6">
        <w:rPr>
          <w:i/>
          <w:color w:val="000000"/>
        </w:rPr>
        <w:t>Canadian Women</w:t>
      </w:r>
      <w:r w:rsidRPr="000205E6">
        <w:rPr>
          <w:color w:val="000000"/>
        </w:rPr>
        <w:t>.</w:t>
      </w:r>
      <w:proofErr w:type="gramEnd"/>
      <w:r w:rsidRPr="000205E6">
        <w:rPr>
          <w:color w:val="000000"/>
        </w:rPr>
        <w:t xml:space="preserve">  </w:t>
      </w:r>
      <w:proofErr w:type="gramStart"/>
      <w:r w:rsidRPr="000205E6">
        <w:rPr>
          <w:color w:val="000000"/>
        </w:rPr>
        <w:t xml:space="preserve">Retrieved June 29, 2011 from </w:t>
      </w:r>
      <w:hyperlink r:id="rId8" w:history="1">
        <w:r w:rsidRPr="000205E6">
          <w:rPr>
            <w:rStyle w:val="Hyperlink"/>
          </w:rPr>
          <w:t>http://www.catalyst.org/file/346/qt_canadian_women.pdf</w:t>
        </w:r>
      </w:hyperlink>
      <w:r w:rsidRPr="000205E6">
        <w:t>.</w:t>
      </w:r>
      <w:proofErr w:type="gramEnd"/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Cech</w:t>
      </w:r>
      <w:proofErr w:type="spellEnd"/>
      <w:r w:rsidRPr="000205E6">
        <w:rPr>
          <w:color w:val="000000"/>
        </w:rPr>
        <w:t>, E., &amp; Blair-Loy, M. (2010).</w:t>
      </w:r>
      <w:proofErr w:type="gramEnd"/>
      <w:r w:rsidRPr="000205E6">
        <w:rPr>
          <w:color w:val="000000"/>
        </w:rPr>
        <w:t xml:space="preserve"> Perceiving glass ceilings? </w:t>
      </w:r>
      <w:proofErr w:type="gramStart"/>
      <w:r w:rsidRPr="000205E6">
        <w:rPr>
          <w:color w:val="000000"/>
        </w:rPr>
        <w:t>Meritocratic versus structural explanations of gender inequality among women in science and technology.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Social Problems,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57</w:t>
      </w:r>
      <w:r w:rsidRPr="000205E6">
        <w:rPr>
          <w:color w:val="000000"/>
        </w:rPr>
        <w:t>(3), 371-397.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Child, J. (1972).  Organizational structure, environment, and performance: The role of strategic choice.  </w:t>
      </w:r>
      <w:r w:rsidRPr="000205E6">
        <w:rPr>
          <w:i/>
          <w:color w:val="000000"/>
        </w:rPr>
        <w:t>Sociology, 6</w:t>
      </w:r>
      <w:r w:rsidRPr="000205E6">
        <w:rPr>
          <w:color w:val="000000"/>
        </w:rPr>
        <w:t>, 1-22.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lastRenderedPageBreak/>
        <w:t>Coronel, J., Moreno, E., &amp; Carrasco, M. (2010).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Work-family conflicts and the organizational work culture as barriers to women educational managers.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Gender, Work and Organization,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17</w:t>
      </w:r>
      <w:r w:rsidRPr="000205E6">
        <w:rPr>
          <w:color w:val="000000"/>
        </w:rPr>
        <w:t xml:space="preserve">(2), 219-239.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Cox, T. </w:t>
      </w:r>
      <w:proofErr w:type="spellStart"/>
      <w:r w:rsidRPr="000205E6">
        <w:rPr>
          <w:color w:val="000000"/>
        </w:rPr>
        <w:t>H.</w:t>
      </w:r>
      <w:proofErr w:type="gramStart"/>
      <w:r w:rsidRPr="000205E6">
        <w:rPr>
          <w:color w:val="000000"/>
        </w:rPr>
        <w:t>,Jr</w:t>
      </w:r>
      <w:proofErr w:type="spellEnd"/>
      <w:proofErr w:type="gramEnd"/>
      <w:r w:rsidRPr="000205E6">
        <w:rPr>
          <w:color w:val="000000"/>
        </w:rPr>
        <w:t>., &amp; Blake, S. (1991). Managing cultural diversity: Implications for organizational competitiveness.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Executive,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</w:t>
      </w:r>
      <w:r w:rsidRPr="000205E6">
        <w:rPr>
          <w:color w:val="000000"/>
        </w:rPr>
        <w:t xml:space="preserve">(3), 45-56.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Davis-Blake, </w:t>
      </w:r>
      <w:r w:rsidR="00F347E4">
        <w:rPr>
          <w:color w:val="000000"/>
        </w:rPr>
        <w:t>A., &amp; Pfeffer, J. (1989).</w:t>
      </w:r>
      <w:proofErr w:type="gramEnd"/>
      <w:r w:rsidR="00F347E4">
        <w:rPr>
          <w:color w:val="000000"/>
        </w:rPr>
        <w:t xml:space="preserve"> Just a</w:t>
      </w:r>
      <w:r w:rsidRPr="000205E6">
        <w:rPr>
          <w:color w:val="000000"/>
        </w:rPr>
        <w:t xml:space="preserve"> mirage: The search for dispositional effects in orga</w:t>
      </w:r>
      <w:r w:rsidR="00F347E4">
        <w:rPr>
          <w:color w:val="000000"/>
        </w:rPr>
        <w:t>nizational research</w:t>
      </w:r>
      <w:r w:rsidRPr="000205E6">
        <w:rPr>
          <w:color w:val="000000"/>
        </w:rPr>
        <w:t>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Academy of Management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14</w:t>
      </w:r>
      <w:r w:rsidRPr="000205E6">
        <w:rPr>
          <w:color w:val="000000"/>
        </w:rPr>
        <w:t xml:space="preserve">(3), 385-400.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de</w:t>
      </w:r>
      <w:proofErr w:type="gramEnd"/>
      <w:r w:rsidRPr="000205E6">
        <w:rPr>
          <w:color w:val="000000"/>
        </w:rPr>
        <w:t xml:space="preserve"> </w:t>
      </w:r>
      <w:proofErr w:type="spellStart"/>
      <w:r w:rsidRPr="000205E6">
        <w:rPr>
          <w:color w:val="000000"/>
        </w:rPr>
        <w:t>Rond</w:t>
      </w:r>
      <w:proofErr w:type="spellEnd"/>
      <w:r w:rsidRPr="000205E6">
        <w:rPr>
          <w:color w:val="000000"/>
        </w:rPr>
        <w:t xml:space="preserve">, M., &amp; </w:t>
      </w:r>
      <w:proofErr w:type="spellStart"/>
      <w:r w:rsidRPr="000205E6">
        <w:rPr>
          <w:color w:val="000000"/>
        </w:rPr>
        <w:t>Thietart</w:t>
      </w:r>
      <w:proofErr w:type="spellEnd"/>
      <w:r w:rsidRPr="000205E6">
        <w:rPr>
          <w:color w:val="000000"/>
        </w:rPr>
        <w:t xml:space="preserve">, R. (2007). </w:t>
      </w:r>
      <w:proofErr w:type="gramStart"/>
      <w:r w:rsidRPr="000205E6">
        <w:rPr>
          <w:color w:val="000000"/>
        </w:rPr>
        <w:t>Choice, chance, and inevitability in strategy.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Strategic Management Journal,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28</w:t>
      </w:r>
      <w:r w:rsidRPr="000205E6">
        <w:rPr>
          <w:color w:val="000000"/>
        </w:rPr>
        <w:t xml:space="preserve">(5), 535-551.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DiMaggio, P.J. &amp; Powell, W.W. (1983).</w:t>
      </w:r>
      <w:proofErr w:type="gramEnd"/>
      <w:r w:rsidRPr="000205E6">
        <w:rPr>
          <w:color w:val="000000"/>
        </w:rPr>
        <w:t xml:space="preserve">  The iron cage revisited: Institutional isomorphism and collective rationality in organizational fields.  </w:t>
      </w:r>
      <w:r w:rsidRPr="000205E6">
        <w:rPr>
          <w:i/>
          <w:color w:val="000000"/>
        </w:rPr>
        <w:t>American Sociological Review, 48</w:t>
      </w:r>
      <w:r w:rsidRPr="000205E6">
        <w:rPr>
          <w:color w:val="000000"/>
        </w:rPr>
        <w:t>, 147-160.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Dwyer, S., Richard, O. C., &amp; Chadwick, K. (2003).</w:t>
      </w:r>
      <w:proofErr w:type="gramEnd"/>
      <w:r w:rsidRPr="000205E6">
        <w:rPr>
          <w:color w:val="000000"/>
        </w:rPr>
        <w:t xml:space="preserve"> Gender diversity in management and firm performance: The influence of growth orientation and organizational culture.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Research</w:t>
      </w:r>
      <w:proofErr w:type="gramStart"/>
      <w:r w:rsidRPr="000205E6">
        <w:rPr>
          <w:i/>
          <w:iCs/>
          <w:color w:val="000000"/>
        </w:rPr>
        <w:t>,56</w:t>
      </w:r>
      <w:proofErr w:type="gramEnd"/>
      <w:r w:rsidRPr="000205E6">
        <w:rPr>
          <w:color w:val="000000"/>
        </w:rPr>
        <w:t xml:space="preserve">(12), 1009-1019.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Eagly</w:t>
      </w:r>
      <w:proofErr w:type="spellEnd"/>
      <w:r w:rsidRPr="000205E6">
        <w:rPr>
          <w:color w:val="000000"/>
        </w:rPr>
        <w:t xml:space="preserve">, A. H., &amp; </w:t>
      </w:r>
      <w:proofErr w:type="spellStart"/>
      <w:r w:rsidRPr="000205E6">
        <w:rPr>
          <w:color w:val="000000"/>
        </w:rPr>
        <w:t>Carli</w:t>
      </w:r>
      <w:proofErr w:type="spellEnd"/>
      <w:r w:rsidRPr="000205E6">
        <w:rPr>
          <w:color w:val="000000"/>
        </w:rPr>
        <w:t>, L. L. (2003).</w:t>
      </w:r>
      <w:proofErr w:type="gramEnd"/>
      <w:r w:rsidRPr="000205E6">
        <w:rPr>
          <w:color w:val="000000"/>
        </w:rPr>
        <w:t xml:space="preserve"> The female leadership advantage: An evaluation of the evidence.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Leadership Quarterly,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14</w:t>
      </w:r>
      <w:r w:rsidRPr="000205E6">
        <w:rPr>
          <w:color w:val="000000"/>
        </w:rPr>
        <w:t xml:space="preserve">(6), 807-834.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Fields, D. L., Goodman, J. S., &amp; Blum, T. C. (2005). Human resource dependence and organizational demography: A study of minority employment in private sector companies.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Management</w:t>
      </w:r>
      <w:proofErr w:type="gramStart"/>
      <w:r w:rsidRPr="000205E6">
        <w:rPr>
          <w:i/>
          <w:iCs/>
          <w:color w:val="000000"/>
        </w:rPr>
        <w:t>,31</w:t>
      </w:r>
      <w:proofErr w:type="gramEnd"/>
      <w:r w:rsidRPr="000205E6">
        <w:rPr>
          <w:color w:val="000000"/>
        </w:rPr>
        <w:t xml:space="preserve">(2), 167-185.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Globerman</w:t>
      </w:r>
      <w:proofErr w:type="spellEnd"/>
      <w:r w:rsidRPr="000205E6">
        <w:rPr>
          <w:color w:val="000000"/>
        </w:rPr>
        <w:t xml:space="preserve">, S., </w:t>
      </w:r>
      <w:proofErr w:type="spellStart"/>
      <w:r w:rsidRPr="000205E6">
        <w:rPr>
          <w:color w:val="000000"/>
        </w:rPr>
        <w:t>Ries</w:t>
      </w:r>
      <w:proofErr w:type="spellEnd"/>
      <w:r w:rsidRPr="000205E6">
        <w:rPr>
          <w:color w:val="000000"/>
        </w:rPr>
        <w:t xml:space="preserve">, J. C., &amp; </w:t>
      </w:r>
      <w:proofErr w:type="spellStart"/>
      <w:r w:rsidRPr="000205E6">
        <w:rPr>
          <w:color w:val="000000"/>
        </w:rPr>
        <w:t>Vertinsky</w:t>
      </w:r>
      <w:proofErr w:type="spellEnd"/>
      <w:r w:rsidRPr="000205E6">
        <w:rPr>
          <w:color w:val="000000"/>
        </w:rPr>
        <w:t>, I. (1994).</w:t>
      </w:r>
      <w:proofErr w:type="gramEnd"/>
      <w:r w:rsidRPr="000205E6">
        <w:rPr>
          <w:color w:val="000000"/>
        </w:rPr>
        <w:t xml:space="preserve"> The economic performance of foreign affiliates in </w:t>
      </w:r>
      <w:proofErr w:type="spellStart"/>
      <w:proofErr w:type="gramStart"/>
      <w:r w:rsidRPr="000205E6">
        <w:rPr>
          <w:color w:val="000000"/>
        </w:rPr>
        <w:t>canada</w:t>
      </w:r>
      <w:proofErr w:type="spellEnd"/>
      <w:proofErr w:type="gramEnd"/>
      <w:r w:rsidRPr="000205E6">
        <w:rPr>
          <w:color w:val="000000"/>
        </w:rPr>
        <w:t>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Canadian Journal of Economics,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27</w:t>
      </w:r>
      <w:r w:rsidRPr="000205E6">
        <w:rPr>
          <w:color w:val="000000"/>
        </w:rPr>
        <w:t xml:space="preserve">(1), 143-156.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lastRenderedPageBreak/>
        <w:t>Goodman, J. S., Fields, D. L., &amp; Blum, T. C. (2003).</w:t>
      </w:r>
      <w:proofErr w:type="gramEnd"/>
      <w:r w:rsidRPr="000205E6">
        <w:rPr>
          <w:color w:val="000000"/>
        </w:rPr>
        <w:t xml:space="preserve"> Cracks in the glass ceiling: In what kinds of organizations do women make it to the top?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Group &amp; Organization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28</w:t>
      </w:r>
      <w:r w:rsidRPr="000205E6">
        <w:rPr>
          <w:color w:val="000000"/>
        </w:rPr>
        <w:t xml:space="preserve">(4), 475-501.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Gopalakrishnan</w:t>
      </w:r>
      <w:proofErr w:type="spellEnd"/>
      <w:r w:rsidRPr="000205E6">
        <w:rPr>
          <w:color w:val="000000"/>
        </w:rPr>
        <w:t xml:space="preserve">, S., &amp; </w:t>
      </w:r>
      <w:proofErr w:type="spellStart"/>
      <w:r w:rsidRPr="000205E6">
        <w:rPr>
          <w:color w:val="000000"/>
        </w:rPr>
        <w:t>Dugal</w:t>
      </w:r>
      <w:proofErr w:type="spellEnd"/>
      <w:r w:rsidRPr="000205E6">
        <w:rPr>
          <w:color w:val="000000"/>
        </w:rPr>
        <w:t>, M. (1998).</w:t>
      </w:r>
      <w:proofErr w:type="gramEnd"/>
      <w:r w:rsidRPr="000205E6">
        <w:rPr>
          <w:color w:val="000000"/>
        </w:rPr>
        <w:t xml:space="preserve"> Strategic choice versus environmental determinism: A debate revisited.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International Journal of Organizational Analysis,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6</w:t>
      </w:r>
      <w:r w:rsidRPr="000205E6">
        <w:rPr>
          <w:color w:val="000000"/>
        </w:rPr>
        <w:t xml:space="preserve">(2), 146-164.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Hambrick, D. C., &amp; Mason, P. A. (1984). Upper echelons: The organization as a reflection of its top managers. </w:t>
      </w:r>
      <w:r w:rsidRPr="000205E6">
        <w:rPr>
          <w:i/>
          <w:color w:val="000000"/>
        </w:rPr>
        <w:t>Academy of Management Review, 9</w:t>
      </w:r>
      <w:r w:rsidRPr="000205E6">
        <w:rPr>
          <w:color w:val="000000"/>
        </w:rPr>
        <w:t>(2), 193–206.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Hambrick, D. C., &amp; Mason, P. A. (1984). Upper echelons: The organization as a reflection of its top managers.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Academy of Management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9</w:t>
      </w:r>
      <w:r w:rsidRPr="000205E6">
        <w:rPr>
          <w:color w:val="000000"/>
        </w:rPr>
        <w:t>(2), 193-206.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Hamel, S. (2009).</w:t>
      </w:r>
      <w:proofErr w:type="gramEnd"/>
      <w:r w:rsidRPr="000205E6">
        <w:rPr>
          <w:color w:val="000000"/>
        </w:rPr>
        <w:t xml:space="preserve"> Exit, voice, and </w:t>
      </w:r>
      <w:proofErr w:type="spellStart"/>
      <w:r w:rsidRPr="000205E6">
        <w:rPr>
          <w:color w:val="000000"/>
        </w:rPr>
        <w:t>sensemaking</w:t>
      </w:r>
      <w:proofErr w:type="spellEnd"/>
      <w:r w:rsidRPr="000205E6">
        <w:rPr>
          <w:color w:val="000000"/>
        </w:rPr>
        <w:t xml:space="preserve"> following psychological contract violations: Women’s responses to career advancement barriers.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Journal of Business Communication,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46</w:t>
      </w:r>
      <w:r w:rsidRPr="000205E6">
        <w:rPr>
          <w:color w:val="000000"/>
        </w:rPr>
        <w:t xml:space="preserve">(2), 234-261.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Hannan</w:t>
      </w:r>
      <w:proofErr w:type="spellEnd"/>
      <w:r w:rsidRPr="000205E6">
        <w:rPr>
          <w:color w:val="000000"/>
        </w:rPr>
        <w:t>, M.T. &amp; Freeman, J. (1977).</w:t>
      </w:r>
      <w:proofErr w:type="gramEnd"/>
      <w:r w:rsidRPr="000205E6">
        <w:rPr>
          <w:color w:val="000000"/>
        </w:rPr>
        <w:t xml:space="preserve">  </w:t>
      </w:r>
      <w:proofErr w:type="gramStart"/>
      <w:r w:rsidRPr="000205E6">
        <w:rPr>
          <w:color w:val="000000"/>
        </w:rPr>
        <w:t>The population ecology of organizations.</w:t>
      </w:r>
      <w:proofErr w:type="gramEnd"/>
      <w:r w:rsidRPr="000205E6">
        <w:rPr>
          <w:color w:val="000000"/>
        </w:rPr>
        <w:t xml:space="preserve">  </w:t>
      </w:r>
      <w:r w:rsidRPr="000205E6">
        <w:rPr>
          <w:i/>
          <w:color w:val="000000"/>
        </w:rPr>
        <w:t>American Journal of Sociology, 82,</w:t>
      </w:r>
      <w:r w:rsidRPr="000205E6">
        <w:rPr>
          <w:color w:val="000000"/>
        </w:rPr>
        <w:t xml:space="preserve"> 929-963.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Hersby</w:t>
      </w:r>
      <w:proofErr w:type="spellEnd"/>
      <w:r w:rsidRPr="000205E6">
        <w:rPr>
          <w:color w:val="000000"/>
        </w:rPr>
        <w:t>, M., Ryan, M., &amp; Jetten, J. (2009).</w:t>
      </w:r>
      <w:proofErr w:type="gramEnd"/>
      <w:r w:rsidRPr="000205E6">
        <w:rPr>
          <w:color w:val="000000"/>
        </w:rPr>
        <w:t xml:space="preserve"> Getting together to get ahead: The impact of social structure on women's networking.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British Journal of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20</w:t>
      </w:r>
      <w:r w:rsidRPr="000205E6">
        <w:rPr>
          <w:color w:val="000000"/>
        </w:rPr>
        <w:t>(4), 415-430.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Hoobler, J.M., Lemmon, G., &amp; Wayne, S.J.  Women’s underrepresentation in upper management: New insights on a persistent problem.  </w:t>
      </w:r>
      <w:r w:rsidRPr="000205E6">
        <w:rPr>
          <w:i/>
          <w:color w:val="000000"/>
        </w:rPr>
        <w:t>Organizational Dynamics, 40,</w:t>
      </w:r>
      <w:r w:rsidRPr="000205E6">
        <w:rPr>
          <w:color w:val="000000"/>
        </w:rPr>
        <w:t xml:space="preserve"> 151-156.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Hrebiniak</w:t>
      </w:r>
      <w:proofErr w:type="spellEnd"/>
      <w:r w:rsidRPr="000205E6">
        <w:rPr>
          <w:color w:val="000000"/>
        </w:rPr>
        <w:t>, L. G., &amp; Joyce, W. F. (1985).</w:t>
      </w:r>
      <w:proofErr w:type="gramEnd"/>
      <w:r w:rsidRPr="000205E6">
        <w:rPr>
          <w:color w:val="000000"/>
        </w:rPr>
        <w:t xml:space="preserve"> Organizational adaptation: Strategic choice and environmental determinism.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Administrative Science Quarterly,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30</w:t>
      </w:r>
      <w:r w:rsidRPr="000205E6">
        <w:rPr>
          <w:color w:val="000000"/>
        </w:rPr>
        <w:t xml:space="preserve">(3), 336-349.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Hunt, G., &amp; </w:t>
      </w:r>
      <w:proofErr w:type="spellStart"/>
      <w:r w:rsidRPr="000205E6">
        <w:rPr>
          <w:color w:val="000000"/>
        </w:rPr>
        <w:t>Haiven</w:t>
      </w:r>
      <w:proofErr w:type="spellEnd"/>
      <w:r w:rsidRPr="000205E6">
        <w:rPr>
          <w:color w:val="000000"/>
        </w:rPr>
        <w:t xml:space="preserve">, J. (2006). </w:t>
      </w:r>
      <w:proofErr w:type="gramStart"/>
      <w:r w:rsidRPr="000205E6">
        <w:rPr>
          <w:color w:val="000000"/>
        </w:rPr>
        <w:t>Building democracy for women and sexual minorities: Union embrace of diversity.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 xml:space="preserve">Relations </w:t>
      </w:r>
      <w:proofErr w:type="spellStart"/>
      <w:r w:rsidRPr="000205E6">
        <w:rPr>
          <w:i/>
          <w:iCs/>
          <w:color w:val="000000"/>
        </w:rPr>
        <w:t>Industrielles</w:t>
      </w:r>
      <w:proofErr w:type="spellEnd"/>
      <w:r w:rsidRPr="000205E6">
        <w:rPr>
          <w:i/>
          <w:iCs/>
          <w:color w:val="000000"/>
        </w:rPr>
        <w:t>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61</w:t>
      </w:r>
      <w:r w:rsidRPr="000205E6">
        <w:rPr>
          <w:color w:val="000000"/>
        </w:rPr>
        <w:t xml:space="preserve">(4), 666-683.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lastRenderedPageBreak/>
        <w:t>Insch</w:t>
      </w:r>
      <w:proofErr w:type="spellEnd"/>
      <w:r w:rsidRPr="000205E6">
        <w:rPr>
          <w:color w:val="000000"/>
        </w:rPr>
        <w:t xml:space="preserve">, G., </w:t>
      </w:r>
      <w:proofErr w:type="spellStart"/>
      <w:r w:rsidRPr="000205E6">
        <w:rPr>
          <w:color w:val="000000"/>
        </w:rPr>
        <w:t>Mcintyre</w:t>
      </w:r>
      <w:proofErr w:type="spellEnd"/>
      <w:r w:rsidRPr="000205E6">
        <w:rPr>
          <w:color w:val="000000"/>
        </w:rPr>
        <w:t>, N., &amp; Napier, N. (2008).</w:t>
      </w:r>
      <w:proofErr w:type="gramEnd"/>
      <w:r w:rsidRPr="000205E6">
        <w:rPr>
          <w:color w:val="000000"/>
        </w:rPr>
        <w:t xml:space="preserve"> The expatriate glass ceiling: The second layer of glass.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Ethics,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83</w:t>
      </w:r>
      <w:r w:rsidRPr="000205E6">
        <w:rPr>
          <w:color w:val="000000"/>
        </w:rPr>
        <w:t xml:space="preserve">(1), 19-28.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Jain, H. C., &amp; Lawler, J. J. (2004).</w:t>
      </w:r>
      <w:proofErr w:type="gramEnd"/>
      <w:r w:rsidRPr="000205E6">
        <w:rPr>
          <w:color w:val="000000"/>
        </w:rPr>
        <w:t xml:space="preserve"> Visible minorities under the Canadian employment equity act, 1987-1999.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 xml:space="preserve">Relations </w:t>
      </w:r>
      <w:proofErr w:type="spellStart"/>
      <w:r w:rsidRPr="000205E6">
        <w:rPr>
          <w:i/>
          <w:iCs/>
          <w:color w:val="000000"/>
        </w:rPr>
        <w:t>Industrielles</w:t>
      </w:r>
      <w:proofErr w:type="spellEnd"/>
      <w:r w:rsidRPr="000205E6">
        <w:rPr>
          <w:i/>
          <w:iCs/>
          <w:color w:val="000000"/>
        </w:rPr>
        <w:t>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59</w:t>
      </w:r>
      <w:r w:rsidRPr="000205E6">
        <w:rPr>
          <w:color w:val="000000"/>
        </w:rPr>
        <w:t xml:space="preserve">(3), 585-611.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Jain, H., Lawler, J., </w:t>
      </w:r>
      <w:proofErr w:type="spellStart"/>
      <w:r w:rsidRPr="000205E6">
        <w:rPr>
          <w:color w:val="000000"/>
        </w:rPr>
        <w:t>Bai</w:t>
      </w:r>
      <w:proofErr w:type="spellEnd"/>
      <w:r w:rsidRPr="000205E6">
        <w:rPr>
          <w:color w:val="000000"/>
        </w:rPr>
        <w:t>, B., &amp; Lee, E. (2010).</w:t>
      </w:r>
      <w:proofErr w:type="gramEnd"/>
      <w:r w:rsidRPr="000205E6">
        <w:rPr>
          <w:color w:val="000000"/>
        </w:rPr>
        <w:t xml:space="preserve"> Effectiveness of Canada’s employment equity legislation for women (1997-2004): Implications for policy makers.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 xml:space="preserve">Relations </w:t>
      </w:r>
      <w:proofErr w:type="spellStart"/>
      <w:r w:rsidRPr="000205E6">
        <w:rPr>
          <w:i/>
          <w:iCs/>
          <w:color w:val="000000"/>
        </w:rPr>
        <w:t>Industrielles</w:t>
      </w:r>
      <w:proofErr w:type="spellEnd"/>
      <w:r w:rsidRPr="000205E6">
        <w:rPr>
          <w:i/>
          <w:iCs/>
          <w:color w:val="000000"/>
        </w:rPr>
        <w:t>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65</w:t>
      </w:r>
      <w:r w:rsidRPr="000205E6">
        <w:rPr>
          <w:color w:val="000000"/>
        </w:rPr>
        <w:t xml:space="preserve">(2), 304-329.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Judge, W. Q., Jr., &amp; Dobbins, G. H. (1995).</w:t>
      </w:r>
      <w:proofErr w:type="gramEnd"/>
      <w:r w:rsidRPr="000205E6">
        <w:rPr>
          <w:color w:val="000000"/>
        </w:rPr>
        <w:t xml:space="preserve"> Antecedents and effects of outside director’s awareness of CEO decision style. </w:t>
      </w:r>
      <w:r w:rsidRPr="000205E6">
        <w:rPr>
          <w:i/>
          <w:color w:val="000000"/>
        </w:rPr>
        <w:t>Journal of Management, 21</w:t>
      </w:r>
      <w:r w:rsidRPr="000205E6">
        <w:rPr>
          <w:color w:val="000000"/>
        </w:rPr>
        <w:t>(1), 43–64.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Jurkus</w:t>
      </w:r>
      <w:proofErr w:type="spellEnd"/>
      <w:r w:rsidRPr="000205E6">
        <w:rPr>
          <w:color w:val="000000"/>
        </w:rPr>
        <w:t>, A.F., Park, J.C., &amp; Woodard, L.S. (2011).</w:t>
      </w:r>
      <w:proofErr w:type="gramEnd"/>
      <w:r w:rsidRPr="000205E6">
        <w:rPr>
          <w:color w:val="000000"/>
        </w:rPr>
        <w:t xml:space="preserve">  </w:t>
      </w:r>
      <w:proofErr w:type="gramStart"/>
      <w:r w:rsidRPr="000205E6">
        <w:rPr>
          <w:color w:val="000000"/>
        </w:rPr>
        <w:t>Women in top management and agency costs.</w:t>
      </w:r>
      <w:proofErr w:type="gramEnd"/>
      <w:r w:rsidRPr="000205E6">
        <w:rPr>
          <w:color w:val="000000"/>
        </w:rPr>
        <w:t xml:space="preserve">  </w:t>
      </w:r>
      <w:r w:rsidRPr="000205E6">
        <w:rPr>
          <w:i/>
          <w:color w:val="000000"/>
        </w:rPr>
        <w:t>Journal of Business Research, 64,</w:t>
      </w:r>
      <w:r w:rsidRPr="000205E6">
        <w:rPr>
          <w:color w:val="000000"/>
        </w:rPr>
        <w:t xml:space="preserve"> 180-186.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Kalev</w:t>
      </w:r>
      <w:proofErr w:type="spellEnd"/>
      <w:r w:rsidRPr="000205E6">
        <w:rPr>
          <w:color w:val="000000"/>
        </w:rPr>
        <w:t>, A., Kelly, E., &amp; Dobbin, F. (2006).</w:t>
      </w:r>
      <w:proofErr w:type="gramEnd"/>
      <w:r w:rsidRPr="000205E6">
        <w:rPr>
          <w:color w:val="000000"/>
        </w:rPr>
        <w:t xml:space="preserve"> Best practices or best guesses? </w:t>
      </w:r>
      <w:proofErr w:type="gramStart"/>
      <w:r w:rsidRPr="000205E6">
        <w:rPr>
          <w:color w:val="000000"/>
        </w:rPr>
        <w:t>Assessing the efficacy of corporate affirmative action and diversity policies.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American Sociological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71</w:t>
      </w:r>
      <w:r w:rsidRPr="000205E6">
        <w:rPr>
          <w:color w:val="000000"/>
        </w:rPr>
        <w:t>(4), 589-617.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Kang, E., Ding, D.K., &amp; </w:t>
      </w:r>
      <w:proofErr w:type="spellStart"/>
      <w:r w:rsidRPr="000205E6">
        <w:rPr>
          <w:color w:val="000000"/>
        </w:rPr>
        <w:t>Charoenwong</w:t>
      </w:r>
      <w:proofErr w:type="spellEnd"/>
      <w:r w:rsidRPr="000205E6">
        <w:rPr>
          <w:color w:val="000000"/>
        </w:rPr>
        <w:t>, C. (2010).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Investor reactions to women directors.</w:t>
      </w:r>
      <w:proofErr w:type="gramEnd"/>
      <w:r w:rsidRPr="000205E6">
        <w:rPr>
          <w:color w:val="000000"/>
        </w:rPr>
        <w:t xml:space="preserve">  </w:t>
      </w:r>
      <w:r w:rsidRPr="000205E6">
        <w:rPr>
          <w:i/>
          <w:color w:val="000000"/>
        </w:rPr>
        <w:t>Journal of Business Research, 63</w:t>
      </w:r>
      <w:r w:rsidRPr="000205E6">
        <w:rPr>
          <w:color w:val="000000"/>
        </w:rPr>
        <w:t>, 888–894.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Konrad, A. M., &amp; </w:t>
      </w:r>
      <w:proofErr w:type="spellStart"/>
      <w:r w:rsidRPr="000205E6">
        <w:rPr>
          <w:color w:val="000000"/>
        </w:rPr>
        <w:t>Cannings</w:t>
      </w:r>
      <w:proofErr w:type="spellEnd"/>
      <w:r w:rsidRPr="000205E6">
        <w:rPr>
          <w:color w:val="000000"/>
        </w:rPr>
        <w:t>, K. (1997).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The effects of gender role congruence and statistical discrimination on managerial advancement.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Human Relations,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50</w:t>
      </w:r>
      <w:r w:rsidRPr="000205E6">
        <w:rPr>
          <w:color w:val="000000"/>
        </w:rPr>
        <w:t xml:space="preserve">(10), 1305-1328.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Konrad, A., Kramer, V., &amp; </w:t>
      </w:r>
      <w:proofErr w:type="spellStart"/>
      <w:r w:rsidRPr="000205E6">
        <w:rPr>
          <w:color w:val="000000"/>
        </w:rPr>
        <w:t>Erkut</w:t>
      </w:r>
      <w:proofErr w:type="spellEnd"/>
      <w:r w:rsidRPr="000205E6">
        <w:rPr>
          <w:color w:val="000000"/>
        </w:rPr>
        <w:t>, S. (2008).</w:t>
      </w:r>
      <w:proofErr w:type="gramEnd"/>
      <w:r w:rsidRPr="000205E6">
        <w:rPr>
          <w:color w:val="000000"/>
        </w:rPr>
        <w:t xml:space="preserve"> Critical mass: The impact of three or more women on corporate boards.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Organizational Dynamics,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37</w:t>
      </w:r>
      <w:r w:rsidRPr="000205E6">
        <w:rPr>
          <w:color w:val="000000"/>
        </w:rPr>
        <w:t xml:space="preserve">(2), 145-164. </w:t>
      </w:r>
    </w:p>
    <w:p w:rsidR="000205E6" w:rsidRPr="000205E6" w:rsidRDefault="000205E6" w:rsidP="000205E6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0205E6">
        <w:rPr>
          <w:rFonts w:ascii="Times New Roman" w:hAnsi="Times New Roman" w:cs="Times New Roman"/>
          <w:sz w:val="24"/>
          <w:szCs w:val="24"/>
          <w:lang w:val="en-US"/>
        </w:rPr>
        <w:t xml:space="preserve">Konrad, A.M. (2007).  The effectiveness of human resource practices for promoting women’s careers, in D. </w:t>
      </w:r>
      <w:proofErr w:type="spellStart"/>
      <w:r w:rsidRPr="000205E6">
        <w:rPr>
          <w:rFonts w:ascii="Times New Roman" w:hAnsi="Times New Roman" w:cs="Times New Roman"/>
          <w:sz w:val="24"/>
          <w:szCs w:val="24"/>
          <w:lang w:val="en-US"/>
        </w:rPr>
        <w:t>Bilimoria</w:t>
      </w:r>
      <w:proofErr w:type="spellEnd"/>
      <w:r w:rsidRPr="000205E6">
        <w:rPr>
          <w:rFonts w:ascii="Times New Roman" w:hAnsi="Times New Roman" w:cs="Times New Roman"/>
          <w:sz w:val="24"/>
          <w:szCs w:val="24"/>
          <w:lang w:val="en-US"/>
        </w:rPr>
        <w:t xml:space="preserve"> (Ed.), </w:t>
      </w:r>
      <w:r w:rsidRPr="000205E6">
        <w:rPr>
          <w:rFonts w:ascii="Times New Roman" w:hAnsi="Times New Roman" w:cs="Times New Roman"/>
          <w:i/>
          <w:sz w:val="24"/>
          <w:szCs w:val="24"/>
          <w:lang w:val="en-US"/>
        </w:rPr>
        <w:t>Handbook of Women in Business and Management</w:t>
      </w:r>
      <w:r w:rsidRPr="000205E6">
        <w:rPr>
          <w:rFonts w:ascii="Times New Roman" w:hAnsi="Times New Roman" w:cs="Times New Roman"/>
          <w:sz w:val="24"/>
          <w:szCs w:val="24"/>
          <w:lang w:val="en-US"/>
        </w:rPr>
        <w:t>, Northampton, MA: Edward Elgar.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lastRenderedPageBreak/>
        <w:t>Krishnan, H. A., &amp; Park, D. (2005).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A few good women - on top management teams.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Research,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58</w:t>
      </w:r>
      <w:r w:rsidRPr="000205E6">
        <w:rPr>
          <w:color w:val="000000"/>
        </w:rPr>
        <w:t xml:space="preserve">(12), 1712-1720.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Leck, J. D. (2002). Making employment equity programs work for women.</w:t>
      </w:r>
      <w:r w:rsidRPr="000205E6">
        <w:rPr>
          <w:rStyle w:val="apple-converted-space"/>
          <w:i/>
          <w:iCs/>
          <w:color w:val="000000"/>
        </w:rPr>
        <w:t> </w:t>
      </w:r>
      <w:proofErr w:type="gramStart"/>
      <w:r w:rsidRPr="000205E6">
        <w:rPr>
          <w:i/>
          <w:iCs/>
          <w:color w:val="000000"/>
        </w:rPr>
        <w:t>Canadian Public Policy,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28</w:t>
      </w:r>
      <w:r w:rsidRPr="000205E6">
        <w:rPr>
          <w:color w:val="000000"/>
        </w:rPr>
        <w:t>, S85-S100.</w:t>
      </w:r>
      <w:proofErr w:type="gramEnd"/>
      <w:r w:rsidRPr="000205E6">
        <w:rPr>
          <w:color w:val="000000"/>
        </w:rPr>
        <w:t xml:space="preserve">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Lee, P. M., &amp; James, E. H. (2007).</w:t>
      </w:r>
      <w:proofErr w:type="gramEnd"/>
      <w:r w:rsidRPr="000205E6">
        <w:rPr>
          <w:color w:val="000000"/>
        </w:rPr>
        <w:t xml:space="preserve"> She’-E-Os: Gender effects and investor reactions to the announcements of top executive appointments.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Strategic Management Journal,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28</w:t>
      </w:r>
      <w:r w:rsidRPr="000205E6">
        <w:rPr>
          <w:color w:val="000000"/>
        </w:rPr>
        <w:t xml:space="preserve">(3), 227-241.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r w:rsidRPr="000205E6">
        <w:rPr>
          <w:color w:val="000000"/>
        </w:rPr>
        <w:t xml:space="preserve">Levy, M. D., &amp; </w:t>
      </w:r>
      <w:proofErr w:type="spellStart"/>
      <w:r w:rsidRPr="000205E6">
        <w:rPr>
          <w:color w:val="000000"/>
        </w:rPr>
        <w:t>Teramura</w:t>
      </w:r>
      <w:proofErr w:type="spellEnd"/>
      <w:r w:rsidRPr="000205E6">
        <w:rPr>
          <w:color w:val="000000"/>
        </w:rPr>
        <w:t>, S. (1993). Foreign ownership: Study offers Japanese a new agenda.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Management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82</w:t>
      </w:r>
      <w:r w:rsidRPr="000205E6">
        <w:rPr>
          <w:color w:val="000000"/>
        </w:rPr>
        <w:t xml:space="preserve">(1), 50-53.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rStyle w:val="apple-converted-space"/>
          <w:color w:val="000000"/>
        </w:rPr>
      </w:pPr>
      <w:proofErr w:type="spellStart"/>
      <w:proofErr w:type="gramStart"/>
      <w:r w:rsidRPr="000205E6">
        <w:rPr>
          <w:rStyle w:val="apple-style-span"/>
          <w:color w:val="000000"/>
        </w:rPr>
        <w:t>Linehan</w:t>
      </w:r>
      <w:proofErr w:type="spellEnd"/>
      <w:r w:rsidRPr="000205E6">
        <w:rPr>
          <w:rStyle w:val="apple-style-span"/>
          <w:color w:val="000000"/>
        </w:rPr>
        <w:t>, M., &amp; Scullion, H. (2001).</w:t>
      </w:r>
      <w:proofErr w:type="gramEnd"/>
      <w:r w:rsidRPr="000205E6">
        <w:rPr>
          <w:rStyle w:val="apple-style-span"/>
          <w:color w:val="000000"/>
        </w:rPr>
        <w:t xml:space="preserve"> European female expatriate careers: Critical success factors.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rStyle w:val="apple-style-span"/>
          <w:i/>
          <w:iCs/>
          <w:color w:val="000000"/>
        </w:rPr>
        <w:t>Journal of European Industrial Training,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rStyle w:val="apple-style-span"/>
          <w:i/>
          <w:iCs/>
          <w:color w:val="000000"/>
        </w:rPr>
        <w:t>25</w:t>
      </w:r>
      <w:r w:rsidRPr="000205E6">
        <w:rPr>
          <w:rStyle w:val="apple-style-span"/>
          <w:color w:val="000000"/>
        </w:rPr>
        <w:t>(8), 392-418</w:t>
      </w:r>
      <w:r w:rsidRPr="000205E6">
        <w:rPr>
          <w:rStyle w:val="apple-converted-space"/>
          <w:color w:val="000000"/>
        </w:rPr>
        <w:t> 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Linehan</w:t>
      </w:r>
      <w:proofErr w:type="spellEnd"/>
      <w:r w:rsidRPr="000205E6">
        <w:rPr>
          <w:color w:val="000000"/>
        </w:rPr>
        <w:t>, M., &amp; Scullion, H. (2001).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Selection, training, and development for female international executives.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Career Development International,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6</w:t>
      </w:r>
      <w:r w:rsidRPr="000205E6">
        <w:rPr>
          <w:color w:val="000000"/>
        </w:rPr>
        <w:t xml:space="preserve">(6), 318-323.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Linehan</w:t>
      </w:r>
      <w:proofErr w:type="spellEnd"/>
      <w:r w:rsidRPr="000205E6">
        <w:rPr>
          <w:color w:val="000000"/>
        </w:rPr>
        <w:t>, M., &amp; Walsh, J. S. (1999).</w:t>
      </w:r>
      <w:proofErr w:type="gramEnd"/>
      <w:r w:rsidRPr="000205E6">
        <w:rPr>
          <w:color w:val="000000"/>
        </w:rPr>
        <w:t xml:space="preserve"> Recruiting and developing female managers for international assignments.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Journal of Management Development,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18</w:t>
      </w:r>
      <w:r w:rsidRPr="000205E6">
        <w:rPr>
          <w:color w:val="000000"/>
        </w:rPr>
        <w:t xml:space="preserve">(6), 521-530.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Linehan</w:t>
      </w:r>
      <w:proofErr w:type="spellEnd"/>
      <w:r w:rsidRPr="000205E6">
        <w:rPr>
          <w:color w:val="000000"/>
        </w:rPr>
        <w:t>, M., Scullion, H., &amp; Walsh, J. S. (2001).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Barriers to women’s participation in international management.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European Business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13</w:t>
      </w:r>
      <w:r w:rsidRPr="000205E6">
        <w:rPr>
          <w:color w:val="000000"/>
        </w:rPr>
        <w:t xml:space="preserve">(1), 10-18.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Litzky</w:t>
      </w:r>
      <w:proofErr w:type="spellEnd"/>
      <w:r w:rsidRPr="000205E6">
        <w:rPr>
          <w:color w:val="000000"/>
        </w:rPr>
        <w:t xml:space="preserve">, B., &amp; </w:t>
      </w:r>
      <w:proofErr w:type="spellStart"/>
      <w:r w:rsidRPr="000205E6">
        <w:rPr>
          <w:color w:val="000000"/>
        </w:rPr>
        <w:t>Greenhaus</w:t>
      </w:r>
      <w:proofErr w:type="spellEnd"/>
      <w:r w:rsidRPr="000205E6">
        <w:rPr>
          <w:color w:val="000000"/>
        </w:rPr>
        <w:t>, J. (2007).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The relationship between gender and aspirations to senior management.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Career Development International,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12</w:t>
      </w:r>
      <w:r w:rsidRPr="000205E6">
        <w:rPr>
          <w:color w:val="000000"/>
        </w:rPr>
        <w:t xml:space="preserve">(7), 637-659.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Matthews, C., Monk-turner, E., &amp; Sumter, M. (2010).</w:t>
      </w:r>
      <w:proofErr w:type="gramEnd"/>
      <w:r w:rsidRPr="000205E6">
        <w:rPr>
          <w:color w:val="000000"/>
        </w:rPr>
        <w:t xml:space="preserve"> Promotional opportunities: How women in corrections perceive their chances for advancement at work.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Gender Issues,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27</w:t>
      </w:r>
      <w:r w:rsidRPr="000205E6">
        <w:rPr>
          <w:color w:val="000000"/>
        </w:rPr>
        <w:t xml:space="preserve">(1-2), 53-66.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r w:rsidRPr="000205E6">
        <w:rPr>
          <w:color w:val="000000"/>
        </w:rPr>
        <w:t>Melero</w:t>
      </w:r>
      <w:proofErr w:type="spellEnd"/>
      <w:r w:rsidRPr="000205E6">
        <w:rPr>
          <w:color w:val="000000"/>
        </w:rPr>
        <w:t xml:space="preserve">, E. (2011).  Are workplaces with many women run differently?  </w:t>
      </w:r>
      <w:r w:rsidRPr="000205E6">
        <w:rPr>
          <w:i/>
          <w:color w:val="000000"/>
        </w:rPr>
        <w:t>Journal of Business Research, 64</w:t>
      </w:r>
      <w:r w:rsidRPr="000205E6">
        <w:rPr>
          <w:color w:val="000000"/>
        </w:rPr>
        <w:t>(4), 385-393.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lastRenderedPageBreak/>
        <w:t xml:space="preserve">Metcalfe, B. (2008). Women, management and globalization in the </w:t>
      </w:r>
      <w:proofErr w:type="gramStart"/>
      <w:r w:rsidRPr="000205E6">
        <w:rPr>
          <w:color w:val="000000"/>
        </w:rPr>
        <w:t>middle east</w:t>
      </w:r>
      <w:proofErr w:type="gramEnd"/>
      <w:r w:rsidRPr="000205E6">
        <w:rPr>
          <w:color w:val="000000"/>
        </w:rPr>
        <w:t>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Ethics,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83</w:t>
      </w:r>
      <w:r w:rsidRPr="000205E6">
        <w:rPr>
          <w:color w:val="000000"/>
        </w:rPr>
        <w:t xml:space="preserve">(1), 85-100.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Metz, I. (2009). Organisational factors, social factors, and women's advancement.</w:t>
      </w:r>
      <w:r w:rsidRPr="000205E6">
        <w:rPr>
          <w:rStyle w:val="apple-converted-space"/>
          <w:i/>
          <w:iCs/>
          <w:color w:val="000000"/>
        </w:rPr>
        <w:t> </w:t>
      </w:r>
      <w:proofErr w:type="gramStart"/>
      <w:r w:rsidRPr="000205E6">
        <w:rPr>
          <w:i/>
          <w:iCs/>
          <w:color w:val="000000"/>
        </w:rPr>
        <w:t>Applied Psychology,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58</w:t>
      </w:r>
      <w:r w:rsidRPr="000205E6">
        <w:rPr>
          <w:color w:val="000000"/>
        </w:rPr>
        <w:t>(2), 193-213.</w:t>
      </w:r>
      <w:proofErr w:type="gramEnd"/>
      <w:r w:rsidRPr="000205E6">
        <w:rPr>
          <w:color w:val="000000"/>
        </w:rPr>
        <w:t xml:space="preserve">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Meyer, J.W. &amp; Rowan, B. (1977).</w:t>
      </w:r>
      <w:proofErr w:type="gramEnd"/>
      <w:r w:rsidRPr="000205E6">
        <w:rPr>
          <w:color w:val="000000"/>
        </w:rPr>
        <w:t xml:space="preserve">  Institutionalized organizations: Formal structure as myth and ceremony.  </w:t>
      </w:r>
      <w:r w:rsidRPr="000205E6">
        <w:rPr>
          <w:i/>
          <w:color w:val="000000"/>
        </w:rPr>
        <w:t>American Journal of Sociology, 83</w:t>
      </w:r>
      <w:r w:rsidRPr="000205E6">
        <w:rPr>
          <w:color w:val="000000"/>
        </w:rPr>
        <w:t>(2), 340-363.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Ng, E.S., &amp; Sears, G.J. (2012).</w:t>
      </w:r>
      <w:proofErr w:type="gramEnd"/>
      <w:r w:rsidRPr="000205E6">
        <w:rPr>
          <w:color w:val="000000"/>
        </w:rPr>
        <w:t xml:space="preserve">  CEO leadership styles and the adoption of organizational diversity practices: Moderating effects of social values and age.  </w:t>
      </w:r>
      <w:r w:rsidRPr="000205E6">
        <w:rPr>
          <w:i/>
          <w:color w:val="000000"/>
        </w:rPr>
        <w:t>Journal of Business Ethics, 105</w:t>
      </w:r>
      <w:r w:rsidRPr="000205E6">
        <w:rPr>
          <w:color w:val="000000"/>
        </w:rPr>
        <w:t>(1), 41-52.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Ng, E.S.W. (2008).</w:t>
      </w:r>
      <w:proofErr w:type="gramEnd"/>
      <w:r w:rsidRPr="000205E6">
        <w:rPr>
          <w:color w:val="000000"/>
        </w:rPr>
        <w:t xml:space="preserve"> Why organizations choose to manage diversity? </w:t>
      </w:r>
      <w:proofErr w:type="gramStart"/>
      <w:r w:rsidRPr="000205E6">
        <w:rPr>
          <w:color w:val="000000"/>
        </w:rPr>
        <w:t>Toward a leadership-based theoretical framework.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Human Resource Development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7</w:t>
      </w:r>
      <w:r w:rsidRPr="000205E6">
        <w:rPr>
          <w:color w:val="000000"/>
        </w:rPr>
        <w:t xml:space="preserve">(1), 58-78.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Ng, E.S.W., &amp; Burke, R. (2010).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A comparison of the legislated employment equity program, federal contractors program, and financial post 500 firms.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Canadian Journal of Administrative Sciences,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27</w:t>
      </w:r>
      <w:r w:rsidRPr="000205E6">
        <w:rPr>
          <w:color w:val="000000"/>
        </w:rPr>
        <w:t xml:space="preserve">(3), 224-235.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Ng, E.S.W., &amp; Wyrick, C.R. (2011).</w:t>
      </w:r>
      <w:proofErr w:type="gramEnd"/>
      <w:r w:rsidRPr="000205E6">
        <w:rPr>
          <w:color w:val="000000"/>
        </w:rPr>
        <w:t xml:space="preserve"> Motivational bases for managing diversity: A model of leadership commitment. </w:t>
      </w:r>
      <w:r w:rsidRPr="000205E6">
        <w:rPr>
          <w:i/>
          <w:color w:val="000000"/>
        </w:rPr>
        <w:t>Human Resource Management Review, in press.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Oliver, C. (1997). Sustainable competitive advantage: Combining institutional and resource based views.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Strategic Management Journal (1986-1998),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18</w:t>
      </w:r>
      <w:r w:rsidRPr="000205E6">
        <w:rPr>
          <w:color w:val="000000"/>
        </w:rPr>
        <w:t>(9), 697-713.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Pell, A. N. (1996). </w:t>
      </w:r>
      <w:proofErr w:type="gramStart"/>
      <w:r w:rsidRPr="000205E6">
        <w:rPr>
          <w:color w:val="000000"/>
        </w:rPr>
        <w:t>Fixing the leaky pipeline: Women scientists in academia.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Animal Science,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74</w:t>
      </w:r>
      <w:r w:rsidRPr="000205E6">
        <w:rPr>
          <w:color w:val="000000"/>
        </w:rPr>
        <w:t xml:space="preserve">(11), 2843-2848. </w:t>
      </w:r>
    </w:p>
    <w:p w:rsidR="000205E6" w:rsidRPr="000205E6" w:rsidRDefault="000205E6" w:rsidP="000205E6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Pfeffer, J. &amp; </w:t>
      </w:r>
      <w:proofErr w:type="spellStart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>Salancik</w:t>
      </w:r>
      <w:proofErr w:type="spellEnd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>, G.R. (1978).</w:t>
      </w:r>
      <w:proofErr w:type="gramEnd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0205E6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 External Control of Organizations</w:t>
      </w:r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NY: Harper &amp; Row.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lastRenderedPageBreak/>
        <w:t>Pichler</w:t>
      </w:r>
      <w:proofErr w:type="spellEnd"/>
      <w:r w:rsidRPr="000205E6">
        <w:rPr>
          <w:color w:val="000000"/>
        </w:rPr>
        <w:t>, S., Simpson, P., &amp; Stroh, L. (2008).</w:t>
      </w:r>
      <w:proofErr w:type="gramEnd"/>
      <w:r w:rsidRPr="000205E6">
        <w:rPr>
          <w:color w:val="000000"/>
        </w:rPr>
        <w:t xml:space="preserve"> The glass ceiling in human resources: Exploring the link between women's representation in management and the practices of strategic human resource management and employee involvement.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Human Resource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47</w:t>
      </w:r>
      <w:r w:rsidRPr="000205E6">
        <w:rPr>
          <w:color w:val="000000"/>
        </w:rPr>
        <w:t xml:space="preserve">(3), 463-479.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Powell, G. N., &amp; Butterfield, D. A. (2002).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Exploring the influence of decision makers’ race and gender on actual promotions to tip management.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Personnel Psychology,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55</w:t>
      </w:r>
      <w:r w:rsidRPr="000205E6">
        <w:rPr>
          <w:color w:val="000000"/>
        </w:rPr>
        <w:t xml:space="preserve">(2), 397-428.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Powell, G. N., Butterfield, D. A., &amp; Parent, J. D. (2002). Gender and </w:t>
      </w:r>
      <w:proofErr w:type="spellStart"/>
      <w:r w:rsidRPr="000205E6">
        <w:rPr>
          <w:color w:val="000000"/>
        </w:rPr>
        <w:t>mangerial</w:t>
      </w:r>
      <w:proofErr w:type="spellEnd"/>
      <w:r w:rsidRPr="000205E6">
        <w:rPr>
          <w:color w:val="000000"/>
        </w:rPr>
        <w:t xml:space="preserve"> stereotypes: Have the times changed?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28</w:t>
      </w:r>
      <w:r w:rsidRPr="000205E6">
        <w:rPr>
          <w:color w:val="000000"/>
        </w:rPr>
        <w:t xml:space="preserve">(2), 177-193.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Ragins, B. R., &amp; Cotton, J. L. (1991).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Easier said than done: Gender differences in perceived barriers to gaining a mentor.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Academy of Management Journal,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34</w:t>
      </w:r>
      <w:r w:rsidRPr="000205E6">
        <w:rPr>
          <w:color w:val="000000"/>
        </w:rPr>
        <w:t xml:space="preserve">(4), 939-951.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 xml:space="preserve">Richard, O. C., </w:t>
      </w:r>
      <w:proofErr w:type="spellStart"/>
      <w:r w:rsidRPr="000205E6">
        <w:rPr>
          <w:color w:val="000000"/>
        </w:rPr>
        <w:t>Kochan</w:t>
      </w:r>
      <w:proofErr w:type="spellEnd"/>
      <w:r w:rsidRPr="000205E6">
        <w:rPr>
          <w:color w:val="000000"/>
        </w:rPr>
        <w:t>, T. A., &amp; McMillan-</w:t>
      </w:r>
      <w:proofErr w:type="spellStart"/>
      <w:r w:rsidRPr="000205E6">
        <w:rPr>
          <w:color w:val="000000"/>
        </w:rPr>
        <w:t>Capehart</w:t>
      </w:r>
      <w:proofErr w:type="spellEnd"/>
      <w:r w:rsidRPr="000205E6">
        <w:rPr>
          <w:color w:val="000000"/>
        </w:rPr>
        <w:t>, A. (2002).</w:t>
      </w:r>
      <w:proofErr w:type="gramEnd"/>
      <w:r w:rsidRPr="000205E6">
        <w:rPr>
          <w:color w:val="000000"/>
        </w:rPr>
        <w:t xml:space="preserve"> The impact of visible diversity on organizational effectiveness: Disclosing the contents in </w:t>
      </w:r>
      <w:proofErr w:type="spellStart"/>
      <w:proofErr w:type="gramStart"/>
      <w:r w:rsidRPr="000205E6">
        <w:rPr>
          <w:color w:val="000000"/>
        </w:rPr>
        <w:t>pandora's</w:t>
      </w:r>
      <w:proofErr w:type="spellEnd"/>
      <w:proofErr w:type="gramEnd"/>
      <w:r w:rsidRPr="000205E6">
        <w:rPr>
          <w:color w:val="000000"/>
        </w:rPr>
        <w:t xml:space="preserve"> black box.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and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8</w:t>
      </w:r>
      <w:r w:rsidRPr="000205E6">
        <w:rPr>
          <w:color w:val="000000"/>
        </w:rPr>
        <w:t xml:space="preserve">(3), 265-291.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Robinson, G., &amp; </w:t>
      </w:r>
      <w:proofErr w:type="spellStart"/>
      <w:r w:rsidRPr="000205E6">
        <w:rPr>
          <w:color w:val="000000"/>
        </w:rPr>
        <w:t>Dechant</w:t>
      </w:r>
      <w:proofErr w:type="spellEnd"/>
      <w:r w:rsidRPr="000205E6">
        <w:rPr>
          <w:color w:val="000000"/>
        </w:rPr>
        <w:t xml:space="preserve">, K. (1997). </w:t>
      </w:r>
      <w:proofErr w:type="gramStart"/>
      <w:r w:rsidRPr="000205E6">
        <w:rPr>
          <w:color w:val="000000"/>
        </w:rPr>
        <w:t>Building a business case for diversity.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Academy of Management Executive,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11</w:t>
      </w:r>
      <w:r w:rsidRPr="000205E6">
        <w:rPr>
          <w:color w:val="000000"/>
        </w:rPr>
        <w:t xml:space="preserve">(3), 21-31. </w:t>
      </w:r>
    </w:p>
    <w:p w:rsidR="000205E6" w:rsidRPr="000205E6" w:rsidRDefault="000205E6" w:rsidP="000205E6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>Salancik</w:t>
      </w:r>
      <w:proofErr w:type="spellEnd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G.R. (1979).  </w:t>
      </w:r>
      <w:proofErr w:type="spellStart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>Interorganizational</w:t>
      </w:r>
      <w:proofErr w:type="spellEnd"/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dependence and responsiveness to affirmative action: The case of women and defense contractors.  </w:t>
      </w:r>
      <w:r w:rsidRPr="000205E6">
        <w:rPr>
          <w:rFonts w:ascii="Times New Roman" w:eastAsia="Calibri" w:hAnsi="Times New Roman" w:cs="Times New Roman"/>
          <w:i/>
          <w:sz w:val="24"/>
          <w:szCs w:val="24"/>
          <w:lang w:val="en-US"/>
        </w:rPr>
        <w:t>Academy of Management Journal, 22</w:t>
      </w:r>
      <w:r w:rsidRPr="000205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375-394.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>Schein, V. E. (2007). Women in management: Reflections and projections.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Women in Management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22</w:t>
      </w:r>
      <w:r w:rsidRPr="000205E6">
        <w:rPr>
          <w:color w:val="000000"/>
        </w:rPr>
        <w:t xml:space="preserve">(1), 6-18. </w:t>
      </w:r>
    </w:p>
    <w:p w:rsidR="000205E6" w:rsidRPr="000205E6" w:rsidRDefault="000205E6" w:rsidP="000205E6">
      <w:pPr>
        <w:spacing w:after="0" w:line="48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05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Schweitzer, L., Ng, E.S.W., Lyons, S.T., Kuron, L.K.J. (2011), Exploring the career pipeline: Gender differences in pre-career expectations. </w:t>
      </w:r>
      <w:proofErr w:type="gramStart"/>
      <w:r w:rsidRPr="000205E6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Relations </w:t>
      </w:r>
      <w:proofErr w:type="spellStart"/>
      <w:r w:rsidRPr="000205E6">
        <w:rPr>
          <w:rFonts w:ascii="Times New Roman" w:eastAsia="Calibri" w:hAnsi="Times New Roman" w:cs="Times New Roman"/>
          <w:i/>
          <w:sz w:val="24"/>
          <w:szCs w:val="24"/>
          <w:lang w:val="en-US"/>
        </w:rPr>
        <w:t>Industrielles</w:t>
      </w:r>
      <w:proofErr w:type="spellEnd"/>
      <w:r w:rsidRPr="000205E6">
        <w:rPr>
          <w:rFonts w:ascii="Times New Roman" w:eastAsia="Calibri" w:hAnsi="Times New Roman" w:cs="Times New Roman"/>
          <w:i/>
          <w:sz w:val="24"/>
          <w:szCs w:val="24"/>
          <w:lang w:val="en-US"/>
        </w:rPr>
        <w:t>/Industrial Relations, in press.</w:t>
      </w:r>
      <w:proofErr w:type="gramEnd"/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lastRenderedPageBreak/>
        <w:t>Sealy, R., &amp; Singh, V. (2010).</w:t>
      </w:r>
      <w:proofErr w:type="gramEnd"/>
      <w:r w:rsidRPr="000205E6">
        <w:rPr>
          <w:color w:val="000000"/>
        </w:rPr>
        <w:t xml:space="preserve"> </w:t>
      </w:r>
      <w:proofErr w:type="gramStart"/>
      <w:r w:rsidRPr="000205E6">
        <w:rPr>
          <w:color w:val="000000"/>
        </w:rPr>
        <w:t>The importance of role models and demographic context for senior women's work identity development.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International Journal of Management Reviews,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12</w:t>
      </w:r>
      <w:r w:rsidRPr="000205E6">
        <w:rPr>
          <w:color w:val="000000"/>
        </w:rPr>
        <w:t xml:space="preserve">(3), 284-300.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proofErr w:type="gramStart"/>
      <w:r w:rsidRPr="000205E6">
        <w:rPr>
          <w:color w:val="000000"/>
        </w:rPr>
        <w:t>Selmer, J., &amp; Leung, A. S. M. (2003).</w:t>
      </w:r>
      <w:proofErr w:type="gramEnd"/>
      <w:r w:rsidRPr="000205E6">
        <w:rPr>
          <w:color w:val="000000"/>
        </w:rPr>
        <w:t xml:space="preserve"> Are corporate career development activities less available to female than to male expatriates?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Journal of Business Ethics,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43</w:t>
      </w:r>
      <w:r w:rsidRPr="000205E6">
        <w:rPr>
          <w:color w:val="000000"/>
        </w:rPr>
        <w:t xml:space="preserve">(1/2), 125-136.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Soe</w:t>
      </w:r>
      <w:proofErr w:type="spellEnd"/>
      <w:r w:rsidRPr="000205E6">
        <w:rPr>
          <w:color w:val="000000"/>
        </w:rPr>
        <w:t>, E, &amp; Yakura, E.K. (2008).</w:t>
      </w:r>
      <w:proofErr w:type="gramEnd"/>
      <w:r w:rsidRPr="000205E6">
        <w:rPr>
          <w:color w:val="000000"/>
        </w:rPr>
        <w:t xml:space="preserve">  What’s wrong with the pipeline? Assumptions about gender and culture in IT work.  </w:t>
      </w:r>
      <w:proofErr w:type="gramStart"/>
      <w:r w:rsidRPr="000205E6">
        <w:rPr>
          <w:i/>
          <w:color w:val="000000"/>
        </w:rPr>
        <w:t>Women’s Studies, 37</w:t>
      </w:r>
      <w:r w:rsidRPr="000205E6">
        <w:rPr>
          <w:color w:val="000000"/>
        </w:rPr>
        <w:t>(3), 176-201.</w:t>
      </w:r>
      <w:proofErr w:type="gramEnd"/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proofErr w:type="gramStart"/>
      <w:r w:rsidRPr="000205E6">
        <w:rPr>
          <w:color w:val="000000"/>
        </w:rPr>
        <w:t xml:space="preserve">Stahl, G. K., &amp; </w:t>
      </w:r>
      <w:proofErr w:type="spellStart"/>
      <w:r w:rsidRPr="000205E6">
        <w:rPr>
          <w:color w:val="000000"/>
        </w:rPr>
        <w:t>Cerdin</w:t>
      </w:r>
      <w:proofErr w:type="spellEnd"/>
      <w:r w:rsidRPr="000205E6">
        <w:rPr>
          <w:color w:val="000000"/>
        </w:rPr>
        <w:t>, J. (2004).</w:t>
      </w:r>
      <w:proofErr w:type="gramEnd"/>
      <w:r w:rsidRPr="000205E6">
        <w:rPr>
          <w:color w:val="000000"/>
        </w:rPr>
        <w:t xml:space="preserve"> Global careers in French and German multinational corporations.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The Journal of Management Development,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23</w:t>
      </w:r>
      <w:r w:rsidRPr="000205E6">
        <w:rPr>
          <w:color w:val="000000"/>
        </w:rPr>
        <w:t xml:space="preserve">(9), 885-902.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proofErr w:type="gramStart"/>
      <w:r w:rsidRPr="000205E6">
        <w:rPr>
          <w:rStyle w:val="apple-style-span"/>
          <w:color w:val="000000"/>
        </w:rPr>
        <w:t>Stahl, G. K., Miller, E. L., &amp; Tung, R. L. (2002).</w:t>
      </w:r>
      <w:proofErr w:type="gramEnd"/>
      <w:r w:rsidRPr="000205E6">
        <w:rPr>
          <w:rStyle w:val="apple-style-span"/>
          <w:color w:val="000000"/>
        </w:rPr>
        <w:t xml:space="preserve"> Toward the </w:t>
      </w:r>
      <w:proofErr w:type="spellStart"/>
      <w:r w:rsidRPr="000205E6">
        <w:rPr>
          <w:rStyle w:val="apple-style-span"/>
          <w:color w:val="000000"/>
        </w:rPr>
        <w:t>boundaryless</w:t>
      </w:r>
      <w:proofErr w:type="spellEnd"/>
      <w:r w:rsidRPr="000205E6">
        <w:rPr>
          <w:rStyle w:val="apple-style-span"/>
          <w:color w:val="000000"/>
        </w:rPr>
        <w:t xml:space="preserve"> career: A closer look at the expatriate career concept and the perceived implications of an international assignment.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rStyle w:val="apple-style-span"/>
          <w:i/>
          <w:iCs/>
          <w:color w:val="000000"/>
        </w:rPr>
        <w:t>Journal of World Business,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rStyle w:val="apple-style-span"/>
          <w:i/>
          <w:iCs/>
          <w:color w:val="000000"/>
        </w:rPr>
        <w:t>37</w:t>
      </w:r>
      <w:r w:rsidRPr="000205E6">
        <w:rPr>
          <w:rStyle w:val="apple-style-span"/>
          <w:color w:val="000000"/>
        </w:rPr>
        <w:t>(3), 216-227.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Statistics Canada.</w:t>
      </w:r>
      <w:proofErr w:type="gramEnd"/>
      <w:r w:rsidRPr="000205E6">
        <w:rPr>
          <w:color w:val="000000"/>
        </w:rPr>
        <w:t xml:space="preserve"> (2002).</w:t>
      </w:r>
      <w:r w:rsidRPr="000205E6">
        <w:rPr>
          <w:rStyle w:val="apple-converted-space"/>
          <w:color w:val="000000"/>
        </w:rPr>
        <w:t> </w:t>
      </w:r>
      <w:r w:rsidRPr="000205E6">
        <w:rPr>
          <w:i/>
          <w:iCs/>
          <w:color w:val="000000"/>
        </w:rPr>
        <w:t>Perspectives on Labour and Income,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14</w:t>
      </w:r>
      <w:r w:rsidRPr="000205E6">
        <w:rPr>
          <w:color w:val="000000"/>
        </w:rPr>
        <w:t>(3) Retrieved from</w:t>
      </w:r>
      <w:r w:rsidRPr="000205E6">
        <w:rPr>
          <w:rStyle w:val="apple-converted-space"/>
          <w:color w:val="000000"/>
        </w:rPr>
        <w:t> </w:t>
      </w:r>
      <w:hyperlink r:id="rId9" w:tgtFrame="_blank" w:history="1">
        <w:r w:rsidRPr="000205E6">
          <w:rPr>
            <w:rStyle w:val="Hyperlink"/>
          </w:rPr>
          <w:t>http://proquest.umi.com/pqdweb?did=358026011&amp;Fmt=7&amp;cli</w:t>
        </w:r>
        <w:r w:rsidRPr="000205E6">
          <w:rPr>
            <w:rStyle w:val="Hyperlink"/>
          </w:rPr>
          <w:t>e</w:t>
        </w:r>
        <w:r w:rsidRPr="000205E6">
          <w:rPr>
            <w:rStyle w:val="Hyperlink"/>
          </w:rPr>
          <w:t>ntId=15814&amp;RQT=309&amp;VName=PQD</w:t>
        </w:r>
      </w:hyperlink>
      <w:r w:rsidRPr="000205E6">
        <w:rPr>
          <w:color w:val="000000"/>
        </w:rPr>
        <w:t>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r w:rsidRPr="000205E6">
        <w:rPr>
          <w:color w:val="000000"/>
        </w:rPr>
        <w:t xml:space="preserve">Taylor, C. (1995). </w:t>
      </w:r>
      <w:proofErr w:type="gramStart"/>
      <w:r w:rsidRPr="000205E6">
        <w:rPr>
          <w:color w:val="000000"/>
        </w:rPr>
        <w:t>Building a business case for diversity.</w:t>
      </w:r>
      <w:proofErr w:type="gramEnd"/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Canadian Business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22</w:t>
      </w:r>
      <w:r w:rsidRPr="000205E6">
        <w:rPr>
          <w:color w:val="000000"/>
        </w:rPr>
        <w:t xml:space="preserve">(1), 12-15.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Terjesen</w:t>
      </w:r>
      <w:proofErr w:type="spellEnd"/>
      <w:r w:rsidRPr="000205E6">
        <w:rPr>
          <w:color w:val="000000"/>
        </w:rPr>
        <w:t xml:space="preserve">, S., &amp; </w:t>
      </w:r>
      <w:proofErr w:type="spellStart"/>
      <w:r w:rsidRPr="000205E6">
        <w:rPr>
          <w:color w:val="000000"/>
        </w:rPr>
        <w:t>Searly</w:t>
      </w:r>
      <w:proofErr w:type="spellEnd"/>
      <w:r w:rsidRPr="000205E6">
        <w:rPr>
          <w:color w:val="000000"/>
        </w:rPr>
        <w:t>, R., &amp; Singh, V. (2009).</w:t>
      </w:r>
      <w:proofErr w:type="gramEnd"/>
      <w:r w:rsidRPr="000205E6">
        <w:rPr>
          <w:color w:val="000000"/>
        </w:rPr>
        <w:t xml:space="preserve">  Women directors on corporate boards: A review and research agenda.  </w:t>
      </w:r>
      <w:r w:rsidRPr="000205E6">
        <w:rPr>
          <w:i/>
          <w:color w:val="000000"/>
        </w:rPr>
        <w:t>Corporate Governance: An International Review, 17</w:t>
      </w:r>
      <w:r w:rsidRPr="000205E6">
        <w:rPr>
          <w:color w:val="000000"/>
        </w:rPr>
        <w:t>(3): 320–337.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proofErr w:type="gramStart"/>
      <w:r w:rsidRPr="000205E6">
        <w:rPr>
          <w:color w:val="000000"/>
        </w:rPr>
        <w:t>Terjesen</w:t>
      </w:r>
      <w:proofErr w:type="spellEnd"/>
      <w:r w:rsidRPr="000205E6">
        <w:rPr>
          <w:color w:val="000000"/>
        </w:rPr>
        <w:t>, S., &amp; Singh, V. (2008).</w:t>
      </w:r>
      <w:proofErr w:type="gramEnd"/>
      <w:r w:rsidRPr="000205E6">
        <w:rPr>
          <w:color w:val="000000"/>
        </w:rPr>
        <w:t xml:space="preserve"> Female presence on corporate boards: A multi-country study of environmental context.</w:t>
      </w:r>
      <w:r w:rsidRPr="000205E6">
        <w:t> </w:t>
      </w:r>
      <w:r w:rsidRPr="000205E6">
        <w:rPr>
          <w:i/>
          <w:color w:val="000000"/>
        </w:rPr>
        <w:t>Journal of Business Ethics,</w:t>
      </w:r>
      <w:r w:rsidRPr="000205E6">
        <w:rPr>
          <w:i/>
        </w:rPr>
        <w:t> </w:t>
      </w:r>
      <w:r w:rsidRPr="000205E6">
        <w:rPr>
          <w:i/>
          <w:color w:val="000000"/>
        </w:rPr>
        <w:t>83</w:t>
      </w:r>
      <w:r w:rsidRPr="000205E6">
        <w:rPr>
          <w:color w:val="000000"/>
        </w:rPr>
        <w:t>(1), 55-63.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5" w:hanging="505"/>
        <w:rPr>
          <w:color w:val="000000"/>
        </w:rPr>
      </w:pPr>
      <w:r w:rsidRPr="000205E6">
        <w:rPr>
          <w:color w:val="000000"/>
        </w:rPr>
        <w:t>Tung, R. L. (2004). Female expatriates: The model global manager?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Organizational Dynamics,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33</w:t>
      </w:r>
      <w:r w:rsidRPr="000205E6">
        <w:rPr>
          <w:color w:val="000000"/>
        </w:rPr>
        <w:t xml:space="preserve">(3), 243-253.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lastRenderedPageBreak/>
        <w:t>Unknown (2008).</w:t>
      </w:r>
      <w:proofErr w:type="gramEnd"/>
      <w:r w:rsidRPr="000205E6">
        <w:rPr>
          <w:color w:val="000000"/>
        </w:rPr>
        <w:t xml:space="preserve"> The world needs women leaders. </w:t>
      </w:r>
      <w:r w:rsidRPr="000205E6">
        <w:rPr>
          <w:i/>
          <w:iCs/>
          <w:color w:val="000000"/>
        </w:rPr>
        <w:t>Strategic Direction,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24</w:t>
      </w:r>
      <w:r w:rsidRPr="000205E6">
        <w:rPr>
          <w:color w:val="000000"/>
        </w:rPr>
        <w:t xml:space="preserve">(3), 27-29.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r w:rsidRPr="000205E6">
        <w:rPr>
          <w:color w:val="000000"/>
        </w:rPr>
        <w:t>Westphal</w:t>
      </w:r>
      <w:proofErr w:type="spellEnd"/>
      <w:r w:rsidRPr="000205E6">
        <w:rPr>
          <w:color w:val="000000"/>
        </w:rPr>
        <w:t xml:space="preserve">, J. D. (1999). Collaboration in the boardroom: </w:t>
      </w:r>
      <w:proofErr w:type="spellStart"/>
      <w:r w:rsidRPr="000205E6">
        <w:rPr>
          <w:color w:val="000000"/>
        </w:rPr>
        <w:t>Behavioral</w:t>
      </w:r>
      <w:proofErr w:type="spellEnd"/>
      <w:r w:rsidRPr="000205E6">
        <w:rPr>
          <w:color w:val="000000"/>
        </w:rPr>
        <w:t xml:space="preserve"> and performance consequences of CEO-board social ties. </w:t>
      </w:r>
      <w:r w:rsidRPr="000205E6">
        <w:rPr>
          <w:i/>
          <w:color w:val="000000"/>
        </w:rPr>
        <w:t>Academy of Management Journal, 42</w:t>
      </w:r>
      <w:r w:rsidRPr="000205E6">
        <w:rPr>
          <w:color w:val="000000"/>
        </w:rPr>
        <w:t>(1), 7–24.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spellStart"/>
      <w:r w:rsidRPr="000205E6">
        <w:rPr>
          <w:color w:val="000000"/>
        </w:rPr>
        <w:t>Weyer</w:t>
      </w:r>
      <w:proofErr w:type="spellEnd"/>
      <w:r w:rsidRPr="000205E6">
        <w:rPr>
          <w:color w:val="000000"/>
        </w:rPr>
        <w:t>, B. (2007). Twenty years later: Explaining the persistence of the glass ceiling for women leaders.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Women in Management Review,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22</w:t>
      </w:r>
      <w:r w:rsidRPr="000205E6">
        <w:rPr>
          <w:color w:val="000000"/>
        </w:rPr>
        <w:t xml:space="preserve">(6), 482-496.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Yang, Y., &amp; Konrad, A. (2011).</w:t>
      </w:r>
      <w:proofErr w:type="gramEnd"/>
      <w:r w:rsidRPr="000205E6">
        <w:rPr>
          <w:color w:val="000000"/>
        </w:rPr>
        <w:t xml:space="preserve"> Understanding diversity management practices: Implications of institutional theory and resource-based theory.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Group &amp; Organization Management,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36</w:t>
      </w:r>
      <w:r w:rsidRPr="000205E6">
        <w:rPr>
          <w:color w:val="000000"/>
        </w:rPr>
        <w:t xml:space="preserve">(1), 6-38. </w:t>
      </w:r>
    </w:p>
    <w:p w:rsidR="000205E6" w:rsidRPr="000205E6" w:rsidRDefault="000205E6" w:rsidP="000205E6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  <w:proofErr w:type="gramStart"/>
      <w:r w:rsidRPr="000205E6">
        <w:rPr>
          <w:color w:val="000000"/>
        </w:rPr>
        <w:t>Yap, M., &amp; Konrad, A. (2009).</w:t>
      </w:r>
      <w:proofErr w:type="gramEnd"/>
      <w:r w:rsidRPr="000205E6">
        <w:rPr>
          <w:color w:val="000000"/>
        </w:rPr>
        <w:t xml:space="preserve"> Gender and racial differentials in promotions: Is there a sticky floor, a mid-level bottleneck, or a glass ceiling?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 xml:space="preserve">Relations </w:t>
      </w:r>
      <w:proofErr w:type="spellStart"/>
      <w:r w:rsidRPr="000205E6">
        <w:rPr>
          <w:i/>
          <w:iCs/>
          <w:color w:val="000000"/>
        </w:rPr>
        <w:t>Industrielles</w:t>
      </w:r>
      <w:proofErr w:type="spellEnd"/>
      <w:r w:rsidRPr="000205E6">
        <w:rPr>
          <w:i/>
          <w:iCs/>
          <w:color w:val="000000"/>
        </w:rPr>
        <w:t>,</w:t>
      </w:r>
      <w:r w:rsidRPr="000205E6">
        <w:rPr>
          <w:rStyle w:val="apple-converted-space"/>
          <w:i/>
          <w:iCs/>
          <w:color w:val="000000"/>
        </w:rPr>
        <w:t> </w:t>
      </w:r>
      <w:r w:rsidRPr="000205E6">
        <w:rPr>
          <w:i/>
          <w:iCs/>
          <w:color w:val="000000"/>
        </w:rPr>
        <w:t>64</w:t>
      </w:r>
      <w:r w:rsidRPr="000205E6">
        <w:rPr>
          <w:color w:val="000000"/>
        </w:rPr>
        <w:t xml:space="preserve">(4), 593-619. </w:t>
      </w:r>
    </w:p>
    <w:p w:rsidR="00310665" w:rsidRPr="003620D8" w:rsidRDefault="0031066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620D8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10665" w:rsidRPr="003620D8" w:rsidRDefault="00310665" w:rsidP="00CB7152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  <w:sectPr w:rsidR="00310665" w:rsidRPr="003620D8" w:rsidSect="008A5EBD">
          <w:footerReference w:type="default" r:id="rId1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10665" w:rsidRPr="003620D8" w:rsidRDefault="00C72650" w:rsidP="0031066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20D8">
        <w:rPr>
          <w:rFonts w:ascii="Times New Roman" w:hAnsi="Times New Roman" w:cs="Times New Roman"/>
          <w:b/>
          <w:sz w:val="24"/>
          <w:szCs w:val="24"/>
        </w:rPr>
        <w:lastRenderedPageBreak/>
        <w:t>Table 1</w:t>
      </w:r>
      <w:r w:rsidR="00310665" w:rsidRPr="003620D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10665" w:rsidRPr="003620D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3710F" w:rsidRPr="003620D8">
        <w:rPr>
          <w:rFonts w:ascii="Times New Roman" w:hAnsi="Times New Roman" w:cs="Times New Roman"/>
          <w:b/>
          <w:sz w:val="24"/>
          <w:szCs w:val="24"/>
        </w:rPr>
        <w:t>Descriptive Statistics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 xml:space="preserve"> and Zero-order Correlations for </w:t>
      </w:r>
      <w:r w:rsidR="004400D5" w:rsidRPr="003620D8">
        <w:rPr>
          <w:rFonts w:ascii="Times New Roman" w:hAnsi="Times New Roman" w:cs="Times New Roman"/>
          <w:b/>
          <w:sz w:val="24"/>
          <w:szCs w:val="24"/>
        </w:rPr>
        <w:t>all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 xml:space="preserve"> Variables</w:t>
      </w:r>
      <w:r w:rsidR="00310665" w:rsidRPr="003620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665" w:rsidRPr="003620D8" w:rsidRDefault="00310665" w:rsidP="003106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"/>
        <w:gridCol w:w="2720"/>
        <w:gridCol w:w="996"/>
        <w:gridCol w:w="1116"/>
        <w:gridCol w:w="306"/>
        <w:gridCol w:w="1410"/>
        <w:gridCol w:w="859"/>
        <w:gridCol w:w="881"/>
        <w:gridCol w:w="836"/>
        <w:gridCol w:w="858"/>
        <w:gridCol w:w="859"/>
      </w:tblGrid>
      <w:tr w:rsidR="007966E2" w:rsidRPr="003620D8" w:rsidTr="00EE723F"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6E2" w:rsidRPr="003620D8" w:rsidRDefault="00AF2EE4" w:rsidP="00C726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966E2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Mean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AF2EE4" w:rsidP="00C726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966E2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SD</w:t>
            </w: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E2" w:rsidRPr="003620D8" w:rsidRDefault="007966E2" w:rsidP="00CC0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6E2" w:rsidRPr="003620D8" w:rsidRDefault="007966E2" w:rsidP="00CC0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966E2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966E2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7966E2" w:rsidP="00CC0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7966E2" w:rsidP="00CC0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7966E2" w:rsidRPr="003620D8" w:rsidRDefault="007966E2" w:rsidP="00CC0DB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C72650" w:rsidRPr="003620D8" w:rsidTr="00EE723F">
        <w:tc>
          <w:tcPr>
            <w:tcW w:w="460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right w:val="single" w:sz="8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righ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23F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0" w:type="dxa"/>
            <w:tcBorders>
              <w:right w:val="single" w:sz="8" w:space="0" w:color="auto"/>
            </w:tcBorders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% Women in mgmt.</w:t>
            </w:r>
          </w:p>
        </w:tc>
        <w:tc>
          <w:tcPr>
            <w:tcW w:w="996" w:type="dxa"/>
            <w:tcBorders>
              <w:left w:val="single" w:sz="8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17.77</w:t>
            </w:r>
          </w:p>
        </w:tc>
        <w:tc>
          <w:tcPr>
            <w:tcW w:w="306" w:type="dxa"/>
            <w:tcBorders>
              <w:right w:val="single" w:sz="8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8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8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E2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0" w:type="dxa"/>
            <w:tcBorders>
              <w:right w:val="single" w:sz="8" w:space="0" w:color="auto"/>
            </w:tcBorders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Organization Size</w:t>
            </w:r>
          </w:p>
        </w:tc>
        <w:tc>
          <w:tcPr>
            <w:tcW w:w="996" w:type="dxa"/>
            <w:tcBorders>
              <w:left w:val="single" w:sz="8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2837.65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7555.23</w:t>
            </w:r>
          </w:p>
        </w:tc>
        <w:tc>
          <w:tcPr>
            <w:tcW w:w="306" w:type="dxa"/>
            <w:tcBorders>
              <w:right w:val="single" w:sz="8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8" w:space="0" w:color="auto"/>
            </w:tcBorders>
          </w:tcPr>
          <w:p w:rsidR="007966E2" w:rsidRPr="003620D8" w:rsidRDefault="007966E2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.26**</w:t>
            </w: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E2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Union Presence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.57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.50</w:t>
            </w: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  .18</w:t>
            </w:r>
          </w:p>
        </w:tc>
        <w:tc>
          <w:tcPr>
            <w:tcW w:w="859" w:type="dxa"/>
          </w:tcPr>
          <w:p w:rsidR="007966E2" w:rsidRPr="003620D8" w:rsidRDefault="007966E2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1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E2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7966E2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CEO Gender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015E" w:rsidRPr="003620D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015E" w:rsidRPr="003620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7966E2" w:rsidRPr="003620D8" w:rsidRDefault="007966E2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  .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9" w:type="dxa"/>
          </w:tcPr>
          <w:p w:rsidR="007966E2" w:rsidRPr="003620D8" w:rsidRDefault="007966E2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" w:type="dxa"/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-.02</w:t>
            </w:r>
          </w:p>
        </w:tc>
        <w:tc>
          <w:tcPr>
            <w:tcW w:w="83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E2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7966E2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Recruiting Index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7966E2" w:rsidRPr="003620D8" w:rsidRDefault="0095015E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11.58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015E" w:rsidRPr="003620D8">
              <w:rPr>
                <w:rFonts w:ascii="Times New Roman" w:hAnsi="Times New Roman" w:cs="Times New Roman"/>
                <w:sz w:val="24"/>
                <w:szCs w:val="24"/>
              </w:rPr>
              <w:t>.80</w:t>
            </w: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966E2"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66E2" w:rsidRPr="003620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9" w:type="dxa"/>
          </w:tcPr>
          <w:p w:rsidR="007966E2" w:rsidRPr="003620D8" w:rsidRDefault="007966E2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21*</w:t>
            </w:r>
          </w:p>
        </w:tc>
        <w:tc>
          <w:tcPr>
            <w:tcW w:w="881" w:type="dxa"/>
          </w:tcPr>
          <w:p w:rsidR="007966E2" w:rsidRPr="003620D8" w:rsidRDefault="00EE723F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6E2"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28**</w:t>
            </w:r>
          </w:p>
        </w:tc>
        <w:tc>
          <w:tcPr>
            <w:tcW w:w="836" w:type="dxa"/>
          </w:tcPr>
          <w:p w:rsidR="007966E2" w:rsidRPr="003620D8" w:rsidRDefault="007966E2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-.13</w:t>
            </w:r>
          </w:p>
        </w:tc>
        <w:tc>
          <w:tcPr>
            <w:tcW w:w="858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E2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7966E2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% Intl. Revenues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7966E2" w:rsidRPr="003620D8" w:rsidRDefault="0095015E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21.92</w:t>
            </w:r>
          </w:p>
        </w:tc>
        <w:tc>
          <w:tcPr>
            <w:tcW w:w="1116" w:type="dxa"/>
          </w:tcPr>
          <w:p w:rsidR="007966E2" w:rsidRPr="003620D8" w:rsidRDefault="0095015E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29.64</w:t>
            </w: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 -.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31**</w:t>
            </w:r>
          </w:p>
        </w:tc>
        <w:tc>
          <w:tcPr>
            <w:tcW w:w="859" w:type="dxa"/>
          </w:tcPr>
          <w:p w:rsidR="007966E2" w:rsidRPr="003620D8" w:rsidRDefault="007966E2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-.08</w:t>
            </w:r>
          </w:p>
        </w:tc>
        <w:tc>
          <w:tcPr>
            <w:tcW w:w="836" w:type="dxa"/>
          </w:tcPr>
          <w:p w:rsidR="007966E2" w:rsidRPr="003620D8" w:rsidRDefault="007966E2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.0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50" w:rsidRPr="003620D8" w:rsidTr="00EE723F">
        <w:tc>
          <w:tcPr>
            <w:tcW w:w="460" w:type="dxa"/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C72650" w:rsidRPr="003620D8" w:rsidRDefault="00C72650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72650" w:rsidRPr="003620D8" w:rsidRDefault="00C72650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C72650" w:rsidRPr="003620D8" w:rsidRDefault="00C72650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C72650" w:rsidRPr="003620D8" w:rsidRDefault="00C72650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23F" w:rsidRPr="003620D8" w:rsidTr="00EE723F">
        <w:tc>
          <w:tcPr>
            <w:tcW w:w="460" w:type="dxa"/>
          </w:tcPr>
          <w:p w:rsidR="007966E2" w:rsidRPr="003620D8" w:rsidRDefault="007966E2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:rsidR="007966E2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Foreign Ownership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015E" w:rsidRPr="003620D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6" w:type="dxa"/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015E" w:rsidRPr="003620D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6" w:type="dxa"/>
            <w:tcBorders>
              <w:right w:val="single" w:sz="4" w:space="0" w:color="auto"/>
            </w:tcBorders>
          </w:tcPr>
          <w:p w:rsidR="007966E2" w:rsidRPr="003620D8" w:rsidRDefault="007966E2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966E2" w:rsidRPr="003620D8" w:rsidRDefault="00EE723F" w:rsidP="00EE7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966E2" w:rsidRPr="003620D8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9" w:type="dxa"/>
          </w:tcPr>
          <w:p w:rsidR="007966E2" w:rsidRPr="003620D8" w:rsidRDefault="007966E2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.20**</w:t>
            </w:r>
          </w:p>
        </w:tc>
        <w:tc>
          <w:tcPr>
            <w:tcW w:w="836" w:type="dxa"/>
          </w:tcPr>
          <w:p w:rsidR="007966E2" w:rsidRPr="003620D8" w:rsidRDefault="007966E2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  <w:tc>
          <w:tcPr>
            <w:tcW w:w="858" w:type="dxa"/>
          </w:tcPr>
          <w:p w:rsidR="007966E2" w:rsidRPr="003620D8" w:rsidRDefault="007966E2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723F" w:rsidRPr="003620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7966E2" w:rsidRPr="003620D8" w:rsidRDefault="00EE723F" w:rsidP="00B52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6E2" w:rsidRPr="003620D8">
              <w:rPr>
                <w:rFonts w:ascii="Times New Roman" w:hAnsi="Times New Roman" w:cs="Times New Roman"/>
                <w:sz w:val="24"/>
                <w:szCs w:val="24"/>
              </w:rPr>
              <w:t>-.07</w:t>
            </w:r>
          </w:p>
        </w:tc>
      </w:tr>
      <w:tr w:rsidR="00AF2EE4" w:rsidRPr="003620D8" w:rsidTr="00EE723F">
        <w:tc>
          <w:tcPr>
            <w:tcW w:w="460" w:type="dxa"/>
            <w:tcBorders>
              <w:bottom w:val="single" w:sz="4" w:space="0" w:color="auto"/>
            </w:tcBorders>
          </w:tcPr>
          <w:p w:rsidR="00AF2EE4" w:rsidRPr="003620D8" w:rsidRDefault="00AF2EE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4" w:space="0" w:color="auto"/>
              <w:right w:val="single" w:sz="4" w:space="0" w:color="auto"/>
            </w:tcBorders>
          </w:tcPr>
          <w:p w:rsidR="00AF2EE4" w:rsidRPr="003620D8" w:rsidRDefault="00AF2EE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</w:tcBorders>
          </w:tcPr>
          <w:p w:rsidR="00AF2EE4" w:rsidRPr="003620D8" w:rsidRDefault="00AF2EE4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AF2EE4" w:rsidRPr="003620D8" w:rsidRDefault="00AF2EE4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single" w:sz="4" w:space="0" w:color="auto"/>
              <w:right w:val="single" w:sz="4" w:space="0" w:color="auto"/>
            </w:tcBorders>
          </w:tcPr>
          <w:p w:rsidR="00AF2EE4" w:rsidRPr="003620D8" w:rsidRDefault="00AF2EE4" w:rsidP="00CC0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</w:tcBorders>
          </w:tcPr>
          <w:p w:rsidR="00AF2EE4" w:rsidRPr="003620D8" w:rsidRDefault="00AF2EE4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AF2EE4" w:rsidRPr="003620D8" w:rsidRDefault="00AF2EE4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AF2EE4" w:rsidRPr="003620D8" w:rsidRDefault="00AF2EE4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AF2EE4" w:rsidRPr="003620D8" w:rsidRDefault="00AF2EE4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F2EE4" w:rsidRPr="003620D8" w:rsidRDefault="00AF2EE4" w:rsidP="00796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AF2EE4" w:rsidRPr="003620D8" w:rsidRDefault="00AF2EE4" w:rsidP="0079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23F" w:rsidRPr="003620D8" w:rsidRDefault="00EE723F" w:rsidP="00310665">
      <w:pPr>
        <w:rPr>
          <w:rFonts w:ascii="Times New Roman" w:hAnsi="Times New Roman" w:cs="Times New Roman"/>
          <w:sz w:val="24"/>
          <w:szCs w:val="24"/>
        </w:rPr>
      </w:pPr>
    </w:p>
    <w:p w:rsidR="00310665" w:rsidRPr="003620D8" w:rsidRDefault="00B52100" w:rsidP="00310665">
      <w:pPr>
        <w:rPr>
          <w:rFonts w:ascii="Times New Roman" w:hAnsi="Times New Roman" w:cs="Times New Roman"/>
          <w:sz w:val="24"/>
          <w:szCs w:val="24"/>
        </w:rPr>
      </w:pPr>
      <w:r w:rsidRPr="003620D8">
        <w:rPr>
          <w:rFonts w:ascii="Times New Roman" w:hAnsi="Times New Roman" w:cs="Times New Roman"/>
          <w:sz w:val="24"/>
          <w:szCs w:val="24"/>
        </w:rPr>
        <w:t xml:space="preserve">Notes: * </w:t>
      </w:r>
      <w:r w:rsidRPr="003620D8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Pr="003620D8">
        <w:rPr>
          <w:rFonts w:ascii="Times New Roman" w:hAnsi="Times New Roman" w:cs="Times New Roman"/>
          <w:sz w:val="24"/>
          <w:szCs w:val="24"/>
        </w:rPr>
        <w:t xml:space="preserve">&lt; .05; ** </w:t>
      </w:r>
      <w:r w:rsidR="00310665" w:rsidRPr="003620D8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="00310665" w:rsidRPr="003620D8">
        <w:rPr>
          <w:rFonts w:ascii="Times New Roman" w:hAnsi="Times New Roman" w:cs="Times New Roman"/>
          <w:sz w:val="24"/>
          <w:szCs w:val="24"/>
        </w:rPr>
        <w:t>&lt; .01</w:t>
      </w:r>
    </w:p>
    <w:p w:rsidR="00310665" w:rsidRPr="003620D8" w:rsidRDefault="00310665" w:rsidP="00310665">
      <w:pPr>
        <w:rPr>
          <w:rFonts w:ascii="Times New Roman" w:hAnsi="Times New Roman" w:cs="Times New Roman"/>
          <w:sz w:val="24"/>
          <w:szCs w:val="24"/>
        </w:rPr>
      </w:pPr>
    </w:p>
    <w:p w:rsidR="00310665" w:rsidRPr="003620D8" w:rsidRDefault="00310665" w:rsidP="00310665">
      <w:pPr>
        <w:rPr>
          <w:rFonts w:ascii="Times New Roman" w:hAnsi="Times New Roman" w:cs="Times New Roman"/>
          <w:sz w:val="24"/>
          <w:szCs w:val="24"/>
        </w:rPr>
      </w:pPr>
    </w:p>
    <w:p w:rsidR="00310665" w:rsidRPr="003620D8" w:rsidRDefault="00310665">
      <w:pPr>
        <w:rPr>
          <w:rFonts w:ascii="Times New Roman" w:hAnsi="Times New Roman" w:cs="Times New Roman"/>
          <w:sz w:val="24"/>
          <w:szCs w:val="24"/>
        </w:rPr>
      </w:pPr>
      <w:r w:rsidRPr="003620D8">
        <w:rPr>
          <w:rFonts w:ascii="Times New Roman" w:hAnsi="Times New Roman" w:cs="Times New Roman"/>
          <w:sz w:val="24"/>
          <w:szCs w:val="24"/>
        </w:rPr>
        <w:br w:type="page"/>
      </w:r>
    </w:p>
    <w:p w:rsidR="00310665" w:rsidRPr="003620D8" w:rsidRDefault="00C72650" w:rsidP="0031066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20D8">
        <w:rPr>
          <w:rFonts w:ascii="Times New Roman" w:hAnsi="Times New Roman" w:cs="Times New Roman"/>
          <w:b/>
          <w:sz w:val="24"/>
          <w:szCs w:val="24"/>
        </w:rPr>
        <w:lastRenderedPageBreak/>
        <w:t>Table 2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13B0E" w:rsidRPr="003620D8">
        <w:rPr>
          <w:rFonts w:ascii="Times New Roman" w:hAnsi="Times New Roman" w:cs="Times New Roman"/>
          <w:b/>
          <w:sz w:val="24"/>
          <w:szCs w:val="24"/>
        </w:rPr>
        <w:t xml:space="preserve">  Regression of </w:t>
      </w:r>
      <w:r w:rsidR="00BD4DEB" w:rsidRPr="003620D8">
        <w:rPr>
          <w:rFonts w:ascii="Times New Roman" w:hAnsi="Times New Roman" w:cs="Times New Roman"/>
          <w:b/>
          <w:sz w:val="24"/>
          <w:szCs w:val="24"/>
        </w:rPr>
        <w:t>Percentage of Women in Management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 xml:space="preserve"> on </w:t>
      </w:r>
      <w:r w:rsidR="004400D5" w:rsidRPr="003620D8">
        <w:rPr>
          <w:rFonts w:ascii="Times New Roman" w:hAnsi="Times New Roman" w:cs="Times New Roman"/>
          <w:b/>
          <w:sz w:val="24"/>
          <w:szCs w:val="24"/>
        </w:rPr>
        <w:t>Study’s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1AF" w:rsidRPr="003620D8">
        <w:rPr>
          <w:rFonts w:ascii="Times New Roman" w:hAnsi="Times New Roman" w:cs="Times New Roman"/>
          <w:b/>
          <w:sz w:val="24"/>
          <w:szCs w:val="24"/>
        </w:rPr>
        <w:t xml:space="preserve">Hypothesized </w:t>
      </w:r>
      <w:r w:rsidR="00C13B0E" w:rsidRPr="003620D8">
        <w:rPr>
          <w:rFonts w:ascii="Times New Roman" w:hAnsi="Times New Roman" w:cs="Times New Roman"/>
          <w:b/>
          <w:sz w:val="24"/>
          <w:szCs w:val="24"/>
        </w:rPr>
        <w:t>Predictors</w:t>
      </w:r>
      <w:r w:rsidR="00310665" w:rsidRPr="003620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665" w:rsidRPr="003620D8" w:rsidRDefault="00310665" w:rsidP="003106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28"/>
        <w:gridCol w:w="2340"/>
        <w:gridCol w:w="360"/>
        <w:gridCol w:w="1440"/>
        <w:gridCol w:w="270"/>
        <w:gridCol w:w="1038"/>
        <w:gridCol w:w="402"/>
        <w:gridCol w:w="90"/>
        <w:gridCol w:w="1063"/>
        <w:gridCol w:w="467"/>
        <w:gridCol w:w="1087"/>
        <w:gridCol w:w="353"/>
        <w:gridCol w:w="1202"/>
        <w:gridCol w:w="238"/>
        <w:gridCol w:w="1317"/>
      </w:tblGrid>
      <w:tr w:rsidR="008B78B4" w:rsidRPr="003620D8" w:rsidTr="00AF2EE4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Dependent Variable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Independent Variable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4400D5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4400D5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SE B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4400D5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β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4400D5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C0639A" w:rsidP="00C06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17DC4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 w:rsidR="00717DC4" w:rsidRPr="003620D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="00717DC4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Δ 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78B4" w:rsidRPr="003620D8" w:rsidRDefault="00AF2EE4" w:rsidP="00717D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17DC4"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FΔ</w:t>
            </w:r>
          </w:p>
        </w:tc>
      </w:tr>
      <w:tr w:rsidR="008B78B4" w:rsidRPr="003620D8" w:rsidTr="00C0639A">
        <w:tc>
          <w:tcPr>
            <w:tcW w:w="2628" w:type="dxa"/>
            <w:tcBorders>
              <w:top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% Women in Mgmt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Organization Size </w:t>
            </w:r>
          </w:p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Union Presence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10F" w:rsidRPr="003620D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5.49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10F" w:rsidRPr="003620D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402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  <w:r w:rsidR="004400D5" w:rsidRPr="003620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717DC4" w:rsidP="0071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3710F" w:rsidRPr="003620D8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353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63710F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10F" w:rsidRPr="003620D8" w:rsidRDefault="00C0639A" w:rsidP="00C0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7DC4" w:rsidRPr="003620D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AF2EE4" w:rsidP="0063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17DC4" w:rsidRPr="003620D8" w:rsidRDefault="00717DC4" w:rsidP="00637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DC4" w:rsidRPr="003620D8" w:rsidRDefault="00717DC4" w:rsidP="0063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4.87**</w:t>
            </w:r>
          </w:p>
        </w:tc>
      </w:tr>
      <w:tr w:rsidR="008B78B4" w:rsidRPr="003620D8" w:rsidTr="00C0639A">
        <w:tc>
          <w:tcPr>
            <w:tcW w:w="2628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Step 1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8B4" w:rsidRPr="003620D8" w:rsidTr="00C0639A">
        <w:tc>
          <w:tcPr>
            <w:tcW w:w="2628" w:type="dxa"/>
            <w:tcBorders>
              <w:top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% Women in Mgmt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AF2EE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CEO Gender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24.22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5.78</w:t>
            </w:r>
          </w:p>
        </w:tc>
        <w:tc>
          <w:tcPr>
            <w:tcW w:w="402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.36</w:t>
            </w: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D5" w:rsidRPr="003620D8" w:rsidRDefault="00DF6C99" w:rsidP="0044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4.19**</w:t>
            </w:r>
          </w:p>
        </w:tc>
        <w:tc>
          <w:tcPr>
            <w:tcW w:w="353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D5" w:rsidRPr="003620D8" w:rsidRDefault="004400D5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8B4" w:rsidRPr="003620D8" w:rsidTr="00C0639A">
        <w:tc>
          <w:tcPr>
            <w:tcW w:w="2628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AF2EE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Recruiting Index</w:t>
            </w:r>
          </w:p>
        </w:tc>
        <w:tc>
          <w:tcPr>
            <w:tcW w:w="36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27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.57</w:t>
            </w:r>
          </w:p>
        </w:tc>
        <w:tc>
          <w:tcPr>
            <w:tcW w:w="4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46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D5" w:rsidRPr="003620D8" w:rsidRDefault="00DF6C99" w:rsidP="00C0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2.44*</w:t>
            </w:r>
          </w:p>
        </w:tc>
        <w:tc>
          <w:tcPr>
            <w:tcW w:w="353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D5" w:rsidRPr="003620D8" w:rsidRDefault="004400D5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8B4" w:rsidRPr="003620D8" w:rsidTr="00C0639A">
        <w:tc>
          <w:tcPr>
            <w:tcW w:w="2628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%  Intl. Revenues</w:t>
            </w:r>
          </w:p>
        </w:tc>
        <w:tc>
          <w:tcPr>
            <w:tcW w:w="36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78B4" w:rsidRPr="003620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310A45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DF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-.3</w:t>
            </w: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39A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87" w:type="dxa"/>
          </w:tcPr>
          <w:p w:rsidR="00C0639A" w:rsidRPr="003620D8" w:rsidRDefault="00C0639A" w:rsidP="00C06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39A" w:rsidRPr="003620D8" w:rsidRDefault="00DF6C99" w:rsidP="00C0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-3.88**</w:t>
            </w:r>
          </w:p>
        </w:tc>
        <w:tc>
          <w:tcPr>
            <w:tcW w:w="353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8B4" w:rsidRPr="003620D8" w:rsidTr="00C0639A">
        <w:tc>
          <w:tcPr>
            <w:tcW w:w="2628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E07F3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Foreign Ownership</w:t>
            </w:r>
          </w:p>
        </w:tc>
        <w:tc>
          <w:tcPr>
            <w:tcW w:w="36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-6.41</w:t>
            </w:r>
          </w:p>
        </w:tc>
        <w:tc>
          <w:tcPr>
            <w:tcW w:w="270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2F1D51" w:rsidRPr="00362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DF6C99" w:rsidP="00DF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0639A" w:rsidRPr="003620D8">
              <w:rPr>
                <w:rFonts w:ascii="Times New Roman" w:hAnsi="Times New Roman" w:cs="Times New Roman"/>
                <w:sz w:val="24"/>
                <w:szCs w:val="24"/>
              </w:rPr>
              <w:t>-.16</w:t>
            </w:r>
          </w:p>
        </w:tc>
        <w:tc>
          <w:tcPr>
            <w:tcW w:w="46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C0639A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-1.82</w:t>
            </w:r>
            <w:r w:rsidR="002F1D51" w:rsidRPr="003620D8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353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2F1D51" w:rsidP="002F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 xml:space="preserve">   .25</w:t>
            </w:r>
          </w:p>
        </w:tc>
        <w:tc>
          <w:tcPr>
            <w:tcW w:w="238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B78B4" w:rsidRPr="003620D8" w:rsidRDefault="008B78B4" w:rsidP="00226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8B4" w:rsidRPr="003620D8" w:rsidRDefault="002F1D51" w:rsidP="00AF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sz w:val="24"/>
                <w:szCs w:val="24"/>
              </w:rPr>
              <w:t>9.13**</w:t>
            </w:r>
          </w:p>
        </w:tc>
      </w:tr>
      <w:tr w:rsidR="008B78B4" w:rsidRPr="003620D8" w:rsidTr="00C0639A">
        <w:tc>
          <w:tcPr>
            <w:tcW w:w="2628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0D8">
              <w:rPr>
                <w:rFonts w:ascii="Times New Roman" w:hAnsi="Times New Roman" w:cs="Times New Roman"/>
                <w:i/>
                <w:sz w:val="24"/>
                <w:szCs w:val="24"/>
              </w:rPr>
              <w:t>Step 2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B78B4" w:rsidRPr="003620D8" w:rsidRDefault="008B78B4" w:rsidP="00CC0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74C" w:rsidRPr="003620D8" w:rsidRDefault="004E274C" w:rsidP="00717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7DC4" w:rsidRPr="003620D8" w:rsidRDefault="00310665" w:rsidP="00717D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20D8">
        <w:rPr>
          <w:rFonts w:ascii="Times New Roman" w:hAnsi="Times New Roman" w:cs="Times New Roman"/>
          <w:sz w:val="24"/>
          <w:szCs w:val="24"/>
        </w:rPr>
        <w:t xml:space="preserve">Notes: </w:t>
      </w:r>
      <w:r w:rsidR="002F1D51" w:rsidRPr="003620D8">
        <w:rPr>
          <w:rFonts w:ascii="Times New Roman" w:hAnsi="Times New Roman" w:cs="Times New Roman"/>
          <w:sz w:val="24"/>
          <w:szCs w:val="24"/>
          <w:lang w:val="en-US"/>
        </w:rPr>
        <w:t xml:space="preserve">† </w:t>
      </w:r>
      <w:r w:rsidR="002F1D51" w:rsidRPr="003620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 </w:t>
      </w:r>
      <w:r w:rsidR="002F1D51" w:rsidRPr="003620D8">
        <w:rPr>
          <w:rFonts w:ascii="Times New Roman" w:hAnsi="Times New Roman" w:cs="Times New Roman"/>
          <w:sz w:val="24"/>
          <w:szCs w:val="24"/>
          <w:lang w:val="en-US"/>
        </w:rPr>
        <w:t>= .072;</w:t>
      </w:r>
      <w:r w:rsidRPr="003620D8">
        <w:rPr>
          <w:rFonts w:ascii="Times New Roman" w:hAnsi="Times New Roman" w:cs="Times New Roman"/>
          <w:sz w:val="24"/>
          <w:szCs w:val="24"/>
        </w:rPr>
        <w:t>*</w:t>
      </w:r>
      <w:r w:rsidR="00B52100" w:rsidRPr="003620D8">
        <w:rPr>
          <w:rFonts w:ascii="Times New Roman" w:hAnsi="Times New Roman" w:cs="Times New Roman"/>
          <w:sz w:val="24"/>
          <w:szCs w:val="24"/>
        </w:rPr>
        <w:t xml:space="preserve"> </w:t>
      </w:r>
      <w:r w:rsidR="007966E2" w:rsidRPr="003620D8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="007966E2" w:rsidRPr="003620D8">
        <w:rPr>
          <w:rFonts w:ascii="Times New Roman" w:hAnsi="Times New Roman" w:cs="Times New Roman"/>
          <w:sz w:val="24"/>
          <w:szCs w:val="24"/>
        </w:rPr>
        <w:t>&lt; .0</w:t>
      </w:r>
      <w:r w:rsidR="00A64A30" w:rsidRPr="003620D8">
        <w:rPr>
          <w:rFonts w:ascii="Times New Roman" w:hAnsi="Times New Roman" w:cs="Times New Roman"/>
          <w:sz w:val="24"/>
          <w:szCs w:val="24"/>
        </w:rPr>
        <w:t>5</w:t>
      </w:r>
      <w:r w:rsidR="007966E2" w:rsidRPr="003620D8">
        <w:rPr>
          <w:rFonts w:ascii="Times New Roman" w:hAnsi="Times New Roman" w:cs="Times New Roman"/>
          <w:sz w:val="24"/>
          <w:szCs w:val="24"/>
        </w:rPr>
        <w:t>; *</w:t>
      </w:r>
      <w:r w:rsidR="00B52100" w:rsidRPr="003620D8">
        <w:rPr>
          <w:rFonts w:ascii="Times New Roman" w:hAnsi="Times New Roman" w:cs="Times New Roman"/>
          <w:sz w:val="24"/>
          <w:szCs w:val="24"/>
        </w:rPr>
        <w:t xml:space="preserve"> </w:t>
      </w:r>
      <w:r w:rsidRPr="003620D8">
        <w:rPr>
          <w:rFonts w:ascii="Times New Roman" w:hAnsi="Times New Roman" w:cs="Times New Roman"/>
          <w:i/>
          <w:sz w:val="24"/>
          <w:szCs w:val="24"/>
        </w:rPr>
        <w:t>p</w:t>
      </w:r>
      <w:r w:rsidRPr="003620D8">
        <w:rPr>
          <w:rFonts w:ascii="Times New Roman" w:hAnsi="Times New Roman" w:cs="Times New Roman"/>
          <w:sz w:val="24"/>
          <w:szCs w:val="24"/>
        </w:rPr>
        <w:t xml:space="preserve"> &lt; .0</w:t>
      </w:r>
      <w:bookmarkStart w:id="0" w:name="_GoBack"/>
      <w:bookmarkEnd w:id="0"/>
      <w:r w:rsidR="00A64A30" w:rsidRPr="003620D8">
        <w:rPr>
          <w:rFonts w:ascii="Times New Roman" w:hAnsi="Times New Roman" w:cs="Times New Roman"/>
          <w:sz w:val="24"/>
          <w:szCs w:val="24"/>
        </w:rPr>
        <w:t>1</w:t>
      </w:r>
      <w:r w:rsidR="00717DC4" w:rsidRPr="003620D8">
        <w:rPr>
          <w:rFonts w:ascii="Times New Roman" w:hAnsi="Times New Roman" w:cs="Times New Roman"/>
          <w:sz w:val="24"/>
          <w:szCs w:val="24"/>
        </w:rPr>
        <w:t xml:space="preserve">; Full Model </w:t>
      </w:r>
      <w:r w:rsidR="00717DC4" w:rsidRPr="003620D8">
        <w:rPr>
          <w:rFonts w:ascii="Times New Roman" w:hAnsi="Times New Roman" w:cs="Times New Roman"/>
          <w:i/>
          <w:sz w:val="24"/>
          <w:szCs w:val="24"/>
        </w:rPr>
        <w:t>R</w:t>
      </w:r>
      <w:r w:rsidR="00717DC4" w:rsidRPr="003620D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717DC4" w:rsidRPr="003620D8">
        <w:rPr>
          <w:rFonts w:ascii="Times New Roman" w:hAnsi="Times New Roman" w:cs="Times New Roman"/>
          <w:i/>
          <w:sz w:val="24"/>
          <w:szCs w:val="24"/>
        </w:rPr>
        <w:t>=</w:t>
      </w:r>
      <w:r w:rsidR="00717DC4" w:rsidRPr="003620D8">
        <w:rPr>
          <w:rFonts w:ascii="Times New Roman" w:hAnsi="Times New Roman" w:cs="Times New Roman"/>
          <w:sz w:val="24"/>
          <w:szCs w:val="24"/>
        </w:rPr>
        <w:t>.34</w:t>
      </w:r>
    </w:p>
    <w:p w:rsidR="00310665" w:rsidRPr="003620D8" w:rsidRDefault="00717DC4" w:rsidP="00310665">
      <w:pPr>
        <w:rPr>
          <w:rFonts w:ascii="Times New Roman" w:hAnsi="Times New Roman" w:cs="Times New Roman"/>
          <w:sz w:val="24"/>
          <w:szCs w:val="24"/>
        </w:rPr>
      </w:pPr>
      <w:r w:rsidRPr="003620D8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20209E" w:rsidRPr="003620D8" w:rsidRDefault="0020209E" w:rsidP="00CB7152">
      <w:pPr>
        <w:pStyle w:val="NormalWeb"/>
        <w:spacing w:before="0" w:beforeAutospacing="0" w:after="0" w:afterAutospacing="0" w:line="480" w:lineRule="auto"/>
        <w:ind w:left="502" w:hanging="502"/>
        <w:rPr>
          <w:color w:val="000000"/>
        </w:rPr>
      </w:pPr>
    </w:p>
    <w:sectPr w:rsidR="0020209E" w:rsidRPr="003620D8" w:rsidSect="00CC0DBE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65" w:rsidRDefault="00092565" w:rsidP="00512332">
      <w:pPr>
        <w:spacing w:after="0" w:line="240" w:lineRule="auto"/>
      </w:pPr>
      <w:r>
        <w:separator/>
      </w:r>
    </w:p>
  </w:endnote>
  <w:endnote w:type="continuationSeparator" w:id="0">
    <w:p w:rsidR="00092565" w:rsidRDefault="00092565" w:rsidP="00512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9982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756B2" w:rsidRPr="004016B7" w:rsidRDefault="00667400">
        <w:pPr>
          <w:pStyle w:val="Footer"/>
          <w:jc w:val="right"/>
          <w:rPr>
            <w:rFonts w:ascii="Times New Roman" w:hAnsi="Times New Roman" w:cs="Times New Roman"/>
          </w:rPr>
        </w:pPr>
        <w:r w:rsidRPr="004016B7">
          <w:rPr>
            <w:rFonts w:ascii="Times New Roman" w:hAnsi="Times New Roman" w:cs="Times New Roman"/>
          </w:rPr>
          <w:fldChar w:fldCharType="begin"/>
        </w:r>
        <w:r w:rsidR="001756B2" w:rsidRPr="004016B7">
          <w:rPr>
            <w:rFonts w:ascii="Times New Roman" w:hAnsi="Times New Roman" w:cs="Times New Roman"/>
          </w:rPr>
          <w:instrText xml:space="preserve"> PAGE   \* MERGEFORMAT </w:instrText>
        </w:r>
        <w:r w:rsidRPr="004016B7">
          <w:rPr>
            <w:rFonts w:ascii="Times New Roman" w:hAnsi="Times New Roman" w:cs="Times New Roman"/>
          </w:rPr>
          <w:fldChar w:fldCharType="separate"/>
        </w:r>
        <w:r w:rsidR="0000400F">
          <w:rPr>
            <w:rFonts w:ascii="Times New Roman" w:hAnsi="Times New Roman" w:cs="Times New Roman"/>
            <w:noProof/>
          </w:rPr>
          <w:t>1</w:t>
        </w:r>
        <w:r w:rsidRPr="004016B7">
          <w:rPr>
            <w:rFonts w:ascii="Times New Roman" w:hAnsi="Times New Roman" w:cs="Times New Roman"/>
          </w:rPr>
          <w:fldChar w:fldCharType="end"/>
        </w:r>
      </w:p>
    </w:sdtContent>
  </w:sdt>
  <w:p w:rsidR="001756B2" w:rsidRDefault="001756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65" w:rsidRDefault="00092565" w:rsidP="00512332">
      <w:pPr>
        <w:spacing w:after="0" w:line="240" w:lineRule="auto"/>
      </w:pPr>
      <w:r>
        <w:separator/>
      </w:r>
    </w:p>
  </w:footnote>
  <w:footnote w:type="continuationSeparator" w:id="0">
    <w:p w:rsidR="00092565" w:rsidRDefault="00092565" w:rsidP="00512332">
      <w:pPr>
        <w:spacing w:after="0" w:line="240" w:lineRule="auto"/>
      </w:pPr>
      <w:r>
        <w:continuationSeparator/>
      </w:r>
    </w:p>
  </w:footnote>
  <w:footnote w:id="1">
    <w:p w:rsidR="001756B2" w:rsidRPr="00D664F4" w:rsidRDefault="001756B2" w:rsidP="00E9330B">
      <w:pPr>
        <w:pStyle w:val="FootnoteText"/>
        <w:rPr>
          <w:rFonts w:ascii="Times New Roman" w:hAnsi="Times New Roman"/>
        </w:rPr>
      </w:pPr>
      <w:r w:rsidRPr="00D664F4">
        <w:rPr>
          <w:rStyle w:val="FootnoteReference"/>
          <w:rFonts w:ascii="Times New Roman" w:hAnsi="Times New Roman"/>
        </w:rPr>
        <w:footnoteRef/>
      </w:r>
      <w:r w:rsidRPr="00D664F4">
        <w:rPr>
          <w:rFonts w:ascii="Times New Roman" w:hAnsi="Times New Roman"/>
        </w:rPr>
        <w:t xml:space="preserve"> Goodman et al. (2003) </w:t>
      </w:r>
      <w:r>
        <w:rPr>
          <w:rFonts w:ascii="Times New Roman" w:hAnsi="Times New Roman"/>
        </w:rPr>
        <w:t xml:space="preserve">utilized </w:t>
      </w:r>
      <w:r w:rsidRPr="00D664F4">
        <w:rPr>
          <w:rFonts w:ascii="Times New Roman" w:hAnsi="Times New Roman"/>
        </w:rPr>
        <w:t>1987 data</w:t>
      </w:r>
      <w:r>
        <w:rPr>
          <w:rFonts w:ascii="Times New Roman" w:hAnsi="Times New Roman"/>
        </w:rPr>
        <w:t xml:space="preserve"> from the Dun &amp; Bradstreet database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531E9"/>
    <w:multiLevelType w:val="hybridMultilevel"/>
    <w:tmpl w:val="DFB275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8F7B01"/>
    <w:multiLevelType w:val="hybridMultilevel"/>
    <w:tmpl w:val="5EAE95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C40"/>
    <w:rsid w:val="0000374A"/>
    <w:rsid w:val="0000400F"/>
    <w:rsid w:val="0000779A"/>
    <w:rsid w:val="000127C9"/>
    <w:rsid w:val="000172FD"/>
    <w:rsid w:val="000205E6"/>
    <w:rsid w:val="000278EA"/>
    <w:rsid w:val="000306FE"/>
    <w:rsid w:val="0004683C"/>
    <w:rsid w:val="0005312B"/>
    <w:rsid w:val="00055763"/>
    <w:rsid w:val="00063CB3"/>
    <w:rsid w:val="00063F15"/>
    <w:rsid w:val="00081BFB"/>
    <w:rsid w:val="00083382"/>
    <w:rsid w:val="000860B5"/>
    <w:rsid w:val="00092565"/>
    <w:rsid w:val="000B29C9"/>
    <w:rsid w:val="000B7A67"/>
    <w:rsid w:val="000E457B"/>
    <w:rsid w:val="000F210C"/>
    <w:rsid w:val="000F38B6"/>
    <w:rsid w:val="000F4514"/>
    <w:rsid w:val="000F5851"/>
    <w:rsid w:val="00102B9F"/>
    <w:rsid w:val="001064F4"/>
    <w:rsid w:val="00125288"/>
    <w:rsid w:val="00125BA6"/>
    <w:rsid w:val="00137521"/>
    <w:rsid w:val="0014194F"/>
    <w:rsid w:val="001447C4"/>
    <w:rsid w:val="00156C62"/>
    <w:rsid w:val="0017099A"/>
    <w:rsid w:val="00172AA4"/>
    <w:rsid w:val="001756B2"/>
    <w:rsid w:val="0019336E"/>
    <w:rsid w:val="00194FC1"/>
    <w:rsid w:val="001B5C23"/>
    <w:rsid w:val="001B6F4A"/>
    <w:rsid w:val="001C56BA"/>
    <w:rsid w:val="001D2710"/>
    <w:rsid w:val="001D5FED"/>
    <w:rsid w:val="001D7C54"/>
    <w:rsid w:val="001E01D5"/>
    <w:rsid w:val="001E45D3"/>
    <w:rsid w:val="0020209E"/>
    <w:rsid w:val="0020237E"/>
    <w:rsid w:val="002043B7"/>
    <w:rsid w:val="00224C74"/>
    <w:rsid w:val="00226541"/>
    <w:rsid w:val="00230F05"/>
    <w:rsid w:val="00237A5F"/>
    <w:rsid w:val="002510D5"/>
    <w:rsid w:val="0026250D"/>
    <w:rsid w:val="00262BFF"/>
    <w:rsid w:val="00264299"/>
    <w:rsid w:val="00265552"/>
    <w:rsid w:val="00275E8C"/>
    <w:rsid w:val="002902CA"/>
    <w:rsid w:val="00290C2E"/>
    <w:rsid w:val="002964F3"/>
    <w:rsid w:val="002A4EF7"/>
    <w:rsid w:val="002A7FC2"/>
    <w:rsid w:val="002B4D77"/>
    <w:rsid w:val="002F1017"/>
    <w:rsid w:val="002F1318"/>
    <w:rsid w:val="002F1D51"/>
    <w:rsid w:val="002F544F"/>
    <w:rsid w:val="003005A7"/>
    <w:rsid w:val="0030212C"/>
    <w:rsid w:val="00310665"/>
    <w:rsid w:val="00310A45"/>
    <w:rsid w:val="003124BF"/>
    <w:rsid w:val="00316DAA"/>
    <w:rsid w:val="00325F41"/>
    <w:rsid w:val="00330995"/>
    <w:rsid w:val="00342690"/>
    <w:rsid w:val="003451FB"/>
    <w:rsid w:val="003603EB"/>
    <w:rsid w:val="003620D8"/>
    <w:rsid w:val="00363995"/>
    <w:rsid w:val="0037017C"/>
    <w:rsid w:val="00381BE0"/>
    <w:rsid w:val="003A230D"/>
    <w:rsid w:val="003A425C"/>
    <w:rsid w:val="003B70FC"/>
    <w:rsid w:val="003D1FBB"/>
    <w:rsid w:val="003D24A1"/>
    <w:rsid w:val="003D459F"/>
    <w:rsid w:val="003D64AD"/>
    <w:rsid w:val="003D6D28"/>
    <w:rsid w:val="003E11A7"/>
    <w:rsid w:val="003E31B5"/>
    <w:rsid w:val="003F0EB7"/>
    <w:rsid w:val="004016B7"/>
    <w:rsid w:val="00404F65"/>
    <w:rsid w:val="0041133C"/>
    <w:rsid w:val="00433253"/>
    <w:rsid w:val="004336A5"/>
    <w:rsid w:val="004372EF"/>
    <w:rsid w:val="004400D5"/>
    <w:rsid w:val="00440DED"/>
    <w:rsid w:val="00441248"/>
    <w:rsid w:val="00442D9D"/>
    <w:rsid w:val="00445EF4"/>
    <w:rsid w:val="00452214"/>
    <w:rsid w:val="00460C79"/>
    <w:rsid w:val="00461DB2"/>
    <w:rsid w:val="004622EE"/>
    <w:rsid w:val="0046734C"/>
    <w:rsid w:val="00467E62"/>
    <w:rsid w:val="00497996"/>
    <w:rsid w:val="004A3796"/>
    <w:rsid w:val="004B4200"/>
    <w:rsid w:val="004C553D"/>
    <w:rsid w:val="004C72D2"/>
    <w:rsid w:val="004D41AF"/>
    <w:rsid w:val="004E274C"/>
    <w:rsid w:val="00512332"/>
    <w:rsid w:val="00516D98"/>
    <w:rsid w:val="00532333"/>
    <w:rsid w:val="0053519D"/>
    <w:rsid w:val="00535EA4"/>
    <w:rsid w:val="00542854"/>
    <w:rsid w:val="0056396B"/>
    <w:rsid w:val="00567B5A"/>
    <w:rsid w:val="005765CF"/>
    <w:rsid w:val="005778EC"/>
    <w:rsid w:val="00583D88"/>
    <w:rsid w:val="00584B22"/>
    <w:rsid w:val="0058741C"/>
    <w:rsid w:val="00587F45"/>
    <w:rsid w:val="00593D9F"/>
    <w:rsid w:val="005A6790"/>
    <w:rsid w:val="005A7119"/>
    <w:rsid w:val="005C1135"/>
    <w:rsid w:val="005C2330"/>
    <w:rsid w:val="005D67FE"/>
    <w:rsid w:val="005E30E4"/>
    <w:rsid w:val="005F3C80"/>
    <w:rsid w:val="005F79FC"/>
    <w:rsid w:val="00601162"/>
    <w:rsid w:val="00601535"/>
    <w:rsid w:val="00613531"/>
    <w:rsid w:val="00615CA6"/>
    <w:rsid w:val="00620F0E"/>
    <w:rsid w:val="00624105"/>
    <w:rsid w:val="006259DC"/>
    <w:rsid w:val="0062717F"/>
    <w:rsid w:val="0062721B"/>
    <w:rsid w:val="006274F5"/>
    <w:rsid w:val="0063710F"/>
    <w:rsid w:val="006416C2"/>
    <w:rsid w:val="006673BD"/>
    <w:rsid w:val="00667400"/>
    <w:rsid w:val="00675428"/>
    <w:rsid w:val="006865D7"/>
    <w:rsid w:val="006907F6"/>
    <w:rsid w:val="00696C86"/>
    <w:rsid w:val="006B1C3E"/>
    <w:rsid w:val="006B606A"/>
    <w:rsid w:val="006C5D6C"/>
    <w:rsid w:val="006D0697"/>
    <w:rsid w:val="006D6358"/>
    <w:rsid w:val="006E2BE0"/>
    <w:rsid w:val="006F48F0"/>
    <w:rsid w:val="00707403"/>
    <w:rsid w:val="0071393A"/>
    <w:rsid w:val="0071687B"/>
    <w:rsid w:val="00717DC4"/>
    <w:rsid w:val="007319A7"/>
    <w:rsid w:val="007335CF"/>
    <w:rsid w:val="00736095"/>
    <w:rsid w:val="007373A0"/>
    <w:rsid w:val="00747F8D"/>
    <w:rsid w:val="00764368"/>
    <w:rsid w:val="007719F4"/>
    <w:rsid w:val="00773759"/>
    <w:rsid w:val="0079625F"/>
    <w:rsid w:val="00796660"/>
    <w:rsid w:val="007966E2"/>
    <w:rsid w:val="007A4F29"/>
    <w:rsid w:val="007B1BA0"/>
    <w:rsid w:val="007B1BDB"/>
    <w:rsid w:val="007C7A92"/>
    <w:rsid w:val="007E4FA7"/>
    <w:rsid w:val="007E5130"/>
    <w:rsid w:val="007F00EE"/>
    <w:rsid w:val="007F5E96"/>
    <w:rsid w:val="00806F52"/>
    <w:rsid w:val="00810CA3"/>
    <w:rsid w:val="00812EA8"/>
    <w:rsid w:val="00817664"/>
    <w:rsid w:val="0081779B"/>
    <w:rsid w:val="00823DF5"/>
    <w:rsid w:val="008324EC"/>
    <w:rsid w:val="00833822"/>
    <w:rsid w:val="008419D4"/>
    <w:rsid w:val="00843664"/>
    <w:rsid w:val="0084604F"/>
    <w:rsid w:val="008461A8"/>
    <w:rsid w:val="008545AC"/>
    <w:rsid w:val="00855F6E"/>
    <w:rsid w:val="0087547F"/>
    <w:rsid w:val="00884A50"/>
    <w:rsid w:val="0088726D"/>
    <w:rsid w:val="0088761B"/>
    <w:rsid w:val="00891FA2"/>
    <w:rsid w:val="00893782"/>
    <w:rsid w:val="008978D2"/>
    <w:rsid w:val="008A5EBD"/>
    <w:rsid w:val="008B202D"/>
    <w:rsid w:val="008B5AC1"/>
    <w:rsid w:val="008B668A"/>
    <w:rsid w:val="008B78B4"/>
    <w:rsid w:val="008C05B6"/>
    <w:rsid w:val="008C3307"/>
    <w:rsid w:val="008C3D8B"/>
    <w:rsid w:val="008C62D3"/>
    <w:rsid w:val="008E1AD6"/>
    <w:rsid w:val="009012D1"/>
    <w:rsid w:val="00902FAE"/>
    <w:rsid w:val="009121B3"/>
    <w:rsid w:val="00912892"/>
    <w:rsid w:val="00920FE7"/>
    <w:rsid w:val="0092589E"/>
    <w:rsid w:val="00931CE7"/>
    <w:rsid w:val="009374B3"/>
    <w:rsid w:val="00943A9B"/>
    <w:rsid w:val="009456F4"/>
    <w:rsid w:val="0094652A"/>
    <w:rsid w:val="0095015E"/>
    <w:rsid w:val="0095650A"/>
    <w:rsid w:val="00957B6D"/>
    <w:rsid w:val="009713D9"/>
    <w:rsid w:val="00972F3B"/>
    <w:rsid w:val="00973761"/>
    <w:rsid w:val="009758C9"/>
    <w:rsid w:val="0098665A"/>
    <w:rsid w:val="009A7FD5"/>
    <w:rsid w:val="009B41AF"/>
    <w:rsid w:val="009B7097"/>
    <w:rsid w:val="009D49F0"/>
    <w:rsid w:val="009E0670"/>
    <w:rsid w:val="00A0470C"/>
    <w:rsid w:val="00A15B42"/>
    <w:rsid w:val="00A15C42"/>
    <w:rsid w:val="00A23C7F"/>
    <w:rsid w:val="00A24041"/>
    <w:rsid w:val="00A2480A"/>
    <w:rsid w:val="00A352D7"/>
    <w:rsid w:val="00A35DAC"/>
    <w:rsid w:val="00A37D19"/>
    <w:rsid w:val="00A457F7"/>
    <w:rsid w:val="00A5749B"/>
    <w:rsid w:val="00A57C82"/>
    <w:rsid w:val="00A64347"/>
    <w:rsid w:val="00A64A30"/>
    <w:rsid w:val="00A825A3"/>
    <w:rsid w:val="00A93027"/>
    <w:rsid w:val="00A94C13"/>
    <w:rsid w:val="00AA06A1"/>
    <w:rsid w:val="00AA79A6"/>
    <w:rsid w:val="00AB33F8"/>
    <w:rsid w:val="00AC41F5"/>
    <w:rsid w:val="00AC61A4"/>
    <w:rsid w:val="00AD2C40"/>
    <w:rsid w:val="00AD77A0"/>
    <w:rsid w:val="00AE3C98"/>
    <w:rsid w:val="00AE5B9D"/>
    <w:rsid w:val="00AE6500"/>
    <w:rsid w:val="00AF2EE4"/>
    <w:rsid w:val="00B01D88"/>
    <w:rsid w:val="00B108F3"/>
    <w:rsid w:val="00B43054"/>
    <w:rsid w:val="00B52100"/>
    <w:rsid w:val="00B528ED"/>
    <w:rsid w:val="00B67CDB"/>
    <w:rsid w:val="00B703A2"/>
    <w:rsid w:val="00B769E7"/>
    <w:rsid w:val="00B76C45"/>
    <w:rsid w:val="00B8084A"/>
    <w:rsid w:val="00B83C39"/>
    <w:rsid w:val="00B87498"/>
    <w:rsid w:val="00B9121E"/>
    <w:rsid w:val="00B97A18"/>
    <w:rsid w:val="00BA686F"/>
    <w:rsid w:val="00BB4EF7"/>
    <w:rsid w:val="00BB586E"/>
    <w:rsid w:val="00BC32E0"/>
    <w:rsid w:val="00BD20D5"/>
    <w:rsid w:val="00BD4DEB"/>
    <w:rsid w:val="00BE581D"/>
    <w:rsid w:val="00C01CB8"/>
    <w:rsid w:val="00C049CB"/>
    <w:rsid w:val="00C0639A"/>
    <w:rsid w:val="00C13B0E"/>
    <w:rsid w:val="00C17634"/>
    <w:rsid w:val="00C2695C"/>
    <w:rsid w:val="00C27428"/>
    <w:rsid w:val="00C35A9D"/>
    <w:rsid w:val="00C3682B"/>
    <w:rsid w:val="00C42081"/>
    <w:rsid w:val="00C4229D"/>
    <w:rsid w:val="00C50C37"/>
    <w:rsid w:val="00C60138"/>
    <w:rsid w:val="00C72650"/>
    <w:rsid w:val="00C77B07"/>
    <w:rsid w:val="00C80473"/>
    <w:rsid w:val="00C82DBE"/>
    <w:rsid w:val="00C83B9E"/>
    <w:rsid w:val="00C84642"/>
    <w:rsid w:val="00CA47C3"/>
    <w:rsid w:val="00CA6246"/>
    <w:rsid w:val="00CB7152"/>
    <w:rsid w:val="00CC0DBE"/>
    <w:rsid w:val="00CC5FB5"/>
    <w:rsid w:val="00CD7A45"/>
    <w:rsid w:val="00CE69CD"/>
    <w:rsid w:val="00CF6B17"/>
    <w:rsid w:val="00D00A57"/>
    <w:rsid w:val="00D03F57"/>
    <w:rsid w:val="00D0591C"/>
    <w:rsid w:val="00D236AD"/>
    <w:rsid w:val="00D24DAA"/>
    <w:rsid w:val="00D26274"/>
    <w:rsid w:val="00D33809"/>
    <w:rsid w:val="00D34680"/>
    <w:rsid w:val="00D35A18"/>
    <w:rsid w:val="00D425EF"/>
    <w:rsid w:val="00D507DC"/>
    <w:rsid w:val="00D51290"/>
    <w:rsid w:val="00D51716"/>
    <w:rsid w:val="00D5216E"/>
    <w:rsid w:val="00D62DED"/>
    <w:rsid w:val="00D63D89"/>
    <w:rsid w:val="00D664F4"/>
    <w:rsid w:val="00D81F5E"/>
    <w:rsid w:val="00D831F4"/>
    <w:rsid w:val="00D87710"/>
    <w:rsid w:val="00DA2EF0"/>
    <w:rsid w:val="00DB1682"/>
    <w:rsid w:val="00DB2E94"/>
    <w:rsid w:val="00DC5C74"/>
    <w:rsid w:val="00DD00DC"/>
    <w:rsid w:val="00DD1DD1"/>
    <w:rsid w:val="00DE07F3"/>
    <w:rsid w:val="00DE7872"/>
    <w:rsid w:val="00DF1FBF"/>
    <w:rsid w:val="00DF2C94"/>
    <w:rsid w:val="00DF4657"/>
    <w:rsid w:val="00DF6C99"/>
    <w:rsid w:val="00DF794C"/>
    <w:rsid w:val="00E058ED"/>
    <w:rsid w:val="00E1787D"/>
    <w:rsid w:val="00E233E6"/>
    <w:rsid w:val="00E32478"/>
    <w:rsid w:val="00E35854"/>
    <w:rsid w:val="00E46921"/>
    <w:rsid w:val="00E644CE"/>
    <w:rsid w:val="00E83B64"/>
    <w:rsid w:val="00E8528D"/>
    <w:rsid w:val="00E9159B"/>
    <w:rsid w:val="00E9330B"/>
    <w:rsid w:val="00E9513E"/>
    <w:rsid w:val="00ED09A6"/>
    <w:rsid w:val="00EE46D0"/>
    <w:rsid w:val="00EE723F"/>
    <w:rsid w:val="00EF1289"/>
    <w:rsid w:val="00F0635F"/>
    <w:rsid w:val="00F14B20"/>
    <w:rsid w:val="00F347E4"/>
    <w:rsid w:val="00F45756"/>
    <w:rsid w:val="00F506D3"/>
    <w:rsid w:val="00F7277E"/>
    <w:rsid w:val="00F816F5"/>
    <w:rsid w:val="00F87480"/>
    <w:rsid w:val="00FC1AA4"/>
    <w:rsid w:val="00FC4CE8"/>
    <w:rsid w:val="00FE1495"/>
    <w:rsid w:val="00FE63F7"/>
    <w:rsid w:val="00FF76F5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2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332"/>
  </w:style>
  <w:style w:type="paragraph" w:styleId="Footer">
    <w:name w:val="footer"/>
    <w:basedOn w:val="Normal"/>
    <w:link w:val="FooterChar"/>
    <w:uiPriority w:val="99"/>
    <w:unhideWhenUsed/>
    <w:rsid w:val="00512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332"/>
  </w:style>
  <w:style w:type="paragraph" w:styleId="NormalWeb">
    <w:name w:val="Normal (Web)"/>
    <w:basedOn w:val="Normal"/>
    <w:uiPriority w:val="99"/>
    <w:unhideWhenUsed/>
    <w:rsid w:val="00401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4016B7"/>
  </w:style>
  <w:style w:type="character" w:styleId="Hyperlink">
    <w:name w:val="Hyperlink"/>
    <w:basedOn w:val="DefaultParagraphFont"/>
    <w:uiPriority w:val="99"/>
    <w:semiHidden/>
    <w:unhideWhenUsed/>
    <w:rsid w:val="004016B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95650A"/>
  </w:style>
  <w:style w:type="table" w:styleId="TableGrid">
    <w:name w:val="Table Grid"/>
    <w:basedOn w:val="TableNormal"/>
    <w:uiPriority w:val="59"/>
    <w:rsid w:val="00310665"/>
    <w:pPr>
      <w:spacing w:after="0" w:line="240" w:lineRule="auto"/>
    </w:pPr>
    <w:rPr>
      <w:rFonts w:eastAsiaTheme="minorEastAsia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unhideWhenUsed/>
    <w:rsid w:val="001E45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E45D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E45D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63C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C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C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C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CB3"/>
    <w:rPr>
      <w:b/>
      <w:bCs/>
    </w:rPr>
  </w:style>
  <w:style w:type="paragraph" w:styleId="Revision">
    <w:name w:val="Revision"/>
    <w:hidden/>
    <w:uiPriority w:val="99"/>
    <w:semiHidden/>
    <w:rsid w:val="00063C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B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84B2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talyst.org/file/346/qt_canadian_wom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oquest.umi.com.ezproxy.library.dal.ca/pqdweb?did=358026011&amp;Fmt=7&amp;clientId=15814&amp;RQT=309&amp;VName=PQ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AD50-7035-4F00-9D1D-7ABB77E0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29</Pages>
  <Words>7090</Words>
  <Characters>40417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 Ng</dc:creator>
  <cp:lastModifiedBy>Eddy Ng</cp:lastModifiedBy>
  <cp:revision>8</cp:revision>
  <cp:lastPrinted>2011-08-19T17:33:00Z</cp:lastPrinted>
  <dcterms:created xsi:type="dcterms:W3CDTF">2012-01-29T12:52:00Z</dcterms:created>
  <dcterms:modified xsi:type="dcterms:W3CDTF">2012-01-30T00:35:00Z</dcterms:modified>
</cp:coreProperties>
</file>